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24" w:rsidRDefault="00D32133">
      <w:pPr>
        <w:pStyle w:val="Standard"/>
        <w:widowControl/>
        <w:spacing w:after="240"/>
      </w:pPr>
      <w:r>
        <w:rPr>
          <w:rFonts w:ascii="標楷體" w:eastAsia="標楷體" w:hAnsi="標楷體"/>
          <w:b/>
          <w:sz w:val="40"/>
          <w:szCs w:val="40"/>
        </w:rPr>
        <w:t>教育部國民及學前教育署補助高職優質化輔助方案經費要點修正規定</w:t>
      </w:r>
    </w:p>
    <w:p w:rsidR="00183524" w:rsidRDefault="00D32133">
      <w:pPr>
        <w:pStyle w:val="Standard"/>
        <w:snapToGrid w:val="0"/>
        <w:spacing w:line="420" w:lineRule="exact"/>
        <w:ind w:left="510" w:hanging="510"/>
        <w:jc w:val="both"/>
      </w:pPr>
      <w:r>
        <w:rPr>
          <w:rFonts w:ascii="標楷體" w:eastAsia="標楷體" w:hAnsi="標楷體"/>
          <w:bCs/>
          <w:sz w:val="28"/>
          <w:szCs w:val="28"/>
        </w:rPr>
        <w:t>一、教育部國民及學前教育署（以下簡稱本</w:t>
      </w:r>
      <w:bookmarkStart w:id="0" w:name="_GoBack"/>
      <w:bookmarkEnd w:id="0"/>
      <w:r>
        <w:rPr>
          <w:rFonts w:ascii="標楷體" w:eastAsia="標楷體" w:hAnsi="標楷體"/>
          <w:bCs/>
          <w:sz w:val="28"/>
          <w:szCs w:val="28"/>
        </w:rPr>
        <w:t>署）為落實高職優質化輔助方案（以下簡稱</w:t>
      </w:r>
      <w:r>
        <w:rPr>
          <w:rFonts w:ascii="標楷體" w:eastAsia="標楷體" w:hAnsi="標楷體"/>
          <w:bCs/>
          <w:sz w:val="28"/>
          <w:szCs w:val="28"/>
        </w:rPr>
        <w:tab/>
        <w:t>優質化方案）之執行，提升高級中等教育階段教學品質及績效，達成優質化之目的，特訂定本要點。</w:t>
      </w:r>
    </w:p>
    <w:p w:rsidR="00183524" w:rsidRDefault="00D32133">
      <w:pPr>
        <w:pStyle w:val="Standard"/>
        <w:snapToGrid w:val="0"/>
        <w:spacing w:line="420" w:lineRule="exact"/>
        <w:ind w:left="560" w:hanging="560"/>
        <w:jc w:val="both"/>
      </w:pPr>
      <w:r>
        <w:rPr>
          <w:rFonts w:ascii="標楷體" w:eastAsia="標楷體" w:hAnsi="標楷體"/>
          <w:bCs/>
          <w:sz w:val="28"/>
          <w:szCs w:val="28"/>
        </w:rPr>
        <w:t>二、本要點補助對象為設有專業群科或專門學程（包括進修部及實驗教育），並經本署核定執行優質化方案之高級中等學校（以下簡稱學校）。</w:t>
      </w:r>
    </w:p>
    <w:p w:rsidR="00183524" w:rsidRDefault="00D32133">
      <w:pPr>
        <w:pStyle w:val="Standard"/>
        <w:snapToGrid w:val="0"/>
        <w:spacing w:line="420" w:lineRule="exact"/>
        <w:ind w:left="510" w:hanging="510"/>
        <w:jc w:val="both"/>
      </w:pPr>
      <w:r>
        <w:rPr>
          <w:rFonts w:ascii="標楷體" w:eastAsia="標楷體" w:hAnsi="標楷體"/>
          <w:bCs/>
          <w:sz w:val="28"/>
          <w:szCs w:val="28"/>
        </w:rPr>
        <w:t>三、本要點之補助（以下簡稱本補助）基準如下：</w:t>
      </w:r>
    </w:p>
    <w:p w:rsidR="00183524" w:rsidRDefault="00D32133">
      <w:pPr>
        <w:pStyle w:val="Standard"/>
        <w:snapToGrid w:val="0"/>
        <w:spacing w:line="420" w:lineRule="exact"/>
        <w:ind w:left="480"/>
        <w:jc w:val="both"/>
      </w:pPr>
      <w:r>
        <w:rPr>
          <w:rFonts w:ascii="標楷體" w:eastAsia="標楷體" w:hAnsi="標楷體"/>
          <w:bCs/>
          <w:sz w:val="28"/>
          <w:szCs w:val="28"/>
        </w:rPr>
        <w:t>（一）基本補助：</w:t>
      </w:r>
    </w:p>
    <w:p w:rsidR="00183524" w:rsidRDefault="00D32133">
      <w:pPr>
        <w:pStyle w:val="Standard"/>
        <w:snapToGrid w:val="0"/>
        <w:spacing w:line="420" w:lineRule="exact"/>
        <w:ind w:left="1200"/>
        <w:jc w:val="both"/>
      </w:pPr>
      <w:r>
        <w:rPr>
          <w:rFonts w:ascii="標楷體" w:eastAsia="標楷體" w:hAnsi="標楷體"/>
          <w:bCs/>
          <w:sz w:val="28"/>
          <w:szCs w:val="28"/>
        </w:rPr>
        <w:t>1.本款補助經費，占優質化方案學年度經費額度百分之二十。</w:t>
      </w:r>
    </w:p>
    <w:p w:rsidR="00183524" w:rsidRDefault="00D32133">
      <w:pPr>
        <w:pStyle w:val="Standard"/>
        <w:snapToGrid w:val="0"/>
        <w:spacing w:line="420" w:lineRule="exact"/>
        <w:ind w:left="1480" w:hanging="280"/>
        <w:jc w:val="both"/>
      </w:pPr>
      <w:r>
        <w:rPr>
          <w:rFonts w:ascii="標楷體" w:eastAsia="標楷體" w:hAnsi="標楷體"/>
          <w:bCs/>
          <w:sz w:val="28"/>
          <w:szCs w:val="28"/>
        </w:rPr>
        <w:t>2.本補助，依學校所在地理位置偏遠等級、各直轄市、縣（市）低收入戶比率、學校低收入戶學生人數占學校學生總人數比率等指標，進行分配。</w:t>
      </w:r>
    </w:p>
    <w:p w:rsidR="00183524" w:rsidRDefault="00D32133">
      <w:pPr>
        <w:pStyle w:val="Standard"/>
        <w:snapToGrid w:val="0"/>
        <w:spacing w:line="420" w:lineRule="exact"/>
        <w:ind w:left="480"/>
        <w:jc w:val="both"/>
      </w:pPr>
      <w:r>
        <w:rPr>
          <w:rFonts w:ascii="標楷體" w:eastAsia="標楷體" w:hAnsi="標楷體"/>
          <w:bCs/>
          <w:sz w:val="28"/>
          <w:szCs w:val="28"/>
        </w:rPr>
        <w:t>（二）計畫補助：</w:t>
      </w:r>
    </w:p>
    <w:p w:rsidR="00183524" w:rsidRDefault="00D32133">
      <w:pPr>
        <w:pStyle w:val="Standard"/>
        <w:snapToGrid w:val="0"/>
        <w:spacing w:line="420" w:lineRule="exact"/>
        <w:ind w:left="1200"/>
        <w:jc w:val="both"/>
      </w:pPr>
      <w:r>
        <w:rPr>
          <w:rFonts w:ascii="標楷體" w:eastAsia="標楷體" w:hAnsi="標楷體"/>
          <w:bCs/>
          <w:sz w:val="28"/>
          <w:szCs w:val="28"/>
        </w:rPr>
        <w:t>1.本款補助經費，占優質化方案學年度經費額度百分之八十。</w:t>
      </w:r>
    </w:p>
    <w:p w:rsidR="00183524" w:rsidRDefault="00D32133">
      <w:pPr>
        <w:pStyle w:val="Standard"/>
        <w:snapToGrid w:val="0"/>
        <w:spacing w:line="420" w:lineRule="exact"/>
        <w:ind w:left="1480" w:hanging="280"/>
        <w:jc w:val="both"/>
      </w:pPr>
      <w:r>
        <w:rPr>
          <w:rFonts w:ascii="標楷體" w:eastAsia="標楷體" w:hAnsi="標楷體"/>
          <w:bCs/>
          <w:sz w:val="28"/>
          <w:szCs w:val="28"/>
        </w:rPr>
        <w:t>2.本補助，按學校依優質化方案所提計畫（以下簡稱計畫）內容之完整性、可行性、效益性及政策性發展狀況，並參照學校之招生率與其增減率、就近入學率與其增減率、學生休學、適性輔導轉學比率與其增減率、畢業生升學率與其增減率、畢業生就業率與其增減率、學生學習表現、學校生師比例、合格教師比率、教師進修情形、教師流動率及教育投資率（私立學校增列）等指標，進行分配。</w:t>
      </w:r>
    </w:p>
    <w:p w:rsidR="00183524" w:rsidRDefault="00D32133">
      <w:pPr>
        <w:pStyle w:val="Standard"/>
        <w:snapToGrid w:val="0"/>
        <w:spacing w:line="420" w:lineRule="exact"/>
        <w:jc w:val="both"/>
      </w:pPr>
      <w:r>
        <w:rPr>
          <w:rFonts w:ascii="標楷體" w:eastAsia="標楷體" w:hAnsi="標楷體"/>
          <w:bCs/>
          <w:sz w:val="28"/>
          <w:szCs w:val="28"/>
        </w:rPr>
        <w:t>四、本補助所需經費之編列，應為推動計畫所需，並依下列原則辦理：</w:t>
      </w:r>
    </w:p>
    <w:p w:rsidR="00183524" w:rsidRDefault="00D32133">
      <w:pPr>
        <w:pStyle w:val="Standard"/>
        <w:snapToGrid w:val="0"/>
        <w:spacing w:line="420" w:lineRule="exact"/>
        <w:ind w:left="1298" w:hanging="816"/>
        <w:jc w:val="both"/>
      </w:pPr>
      <w:r>
        <w:rPr>
          <w:rFonts w:ascii="標楷體" w:eastAsia="標楷體" w:hAnsi="標楷體"/>
          <w:bCs/>
          <w:sz w:val="28"/>
          <w:szCs w:val="28"/>
        </w:rPr>
        <w:t>（一）經費編列之項目、單位、基準及支用說明，應依附件及教育部補（捐）助及委辦經費核撥結報作業要點與基準表之規定。</w:t>
      </w:r>
    </w:p>
    <w:p w:rsidR="00183524" w:rsidRDefault="00D32133">
      <w:pPr>
        <w:pStyle w:val="Standard"/>
        <w:snapToGrid w:val="0"/>
        <w:spacing w:line="420" w:lineRule="exact"/>
        <w:ind w:left="1298" w:hanging="816"/>
        <w:jc w:val="both"/>
      </w:pPr>
      <w:r>
        <w:rPr>
          <w:rFonts w:ascii="標楷體" w:eastAsia="標楷體" w:hAnsi="標楷體"/>
          <w:bCs/>
          <w:sz w:val="28"/>
          <w:szCs w:val="28"/>
        </w:rPr>
        <w:t>（二）本補助，依中央對直轄市及縣（市）政府補助辦法之規定及配合本署獲配年度預算額度，就各直轄市、縣（市）政府財力級次，給予不同補助比率；屬第一級者，最高補助比率為百分之八十；屬第二級者，最高補助比率為百分之八十五；屬第三級最高補助比率百分之八十八；屬第四級最高補助比率百分之八十九；其第五級最高補助比率百分之九十。</w:t>
      </w:r>
    </w:p>
    <w:p w:rsidR="00183524" w:rsidRDefault="00D32133">
      <w:pPr>
        <w:pStyle w:val="Standard"/>
        <w:snapToGrid w:val="0"/>
        <w:spacing w:line="420" w:lineRule="exact"/>
        <w:ind w:left="480"/>
        <w:jc w:val="both"/>
      </w:pPr>
      <w:r>
        <w:rPr>
          <w:rFonts w:ascii="標楷體" w:eastAsia="標楷體" w:hAnsi="標楷體"/>
          <w:bCs/>
          <w:sz w:val="28"/>
          <w:szCs w:val="28"/>
        </w:rPr>
        <w:t>（三）經費編列，以新臺幣（以下同）千元為單位。</w:t>
      </w:r>
    </w:p>
    <w:p w:rsidR="00183524" w:rsidRDefault="00D32133">
      <w:pPr>
        <w:pStyle w:val="Standard"/>
        <w:snapToGrid w:val="0"/>
        <w:spacing w:line="420" w:lineRule="exact"/>
        <w:ind w:left="1320" w:hanging="840"/>
        <w:jc w:val="both"/>
      </w:pPr>
      <w:r>
        <w:rPr>
          <w:rFonts w:ascii="標楷體" w:eastAsia="標楷體" w:hAnsi="標楷體"/>
          <w:bCs/>
          <w:sz w:val="28"/>
          <w:szCs w:val="28"/>
        </w:rPr>
        <w:t>（四）計畫內所列之項目，已依其他計畫編列經費預算者，不得依本要點之規定重複申請補助。</w:t>
      </w:r>
    </w:p>
    <w:p w:rsidR="00183524" w:rsidRDefault="00D32133">
      <w:pPr>
        <w:pStyle w:val="Standard"/>
        <w:snapToGrid w:val="0"/>
        <w:spacing w:line="420" w:lineRule="exact"/>
        <w:ind w:left="480"/>
        <w:jc w:val="both"/>
      </w:pPr>
      <w:r>
        <w:rPr>
          <w:rFonts w:ascii="標楷體" w:eastAsia="標楷體" w:hAnsi="標楷體"/>
          <w:bCs/>
          <w:sz w:val="28"/>
          <w:szCs w:val="28"/>
        </w:rPr>
        <w:t>（五）計畫內所列相關活動，以在校內舉行為原則。</w:t>
      </w:r>
    </w:p>
    <w:p w:rsidR="00183524" w:rsidRDefault="00D32133">
      <w:pPr>
        <w:pStyle w:val="Standard"/>
        <w:snapToGrid w:val="0"/>
        <w:spacing w:line="420" w:lineRule="exact"/>
        <w:ind w:left="560" w:hanging="560"/>
        <w:jc w:val="both"/>
      </w:pPr>
      <w:r>
        <w:rPr>
          <w:rFonts w:ascii="標楷體" w:eastAsia="標楷體" w:hAnsi="標楷體"/>
          <w:bCs/>
          <w:sz w:val="28"/>
          <w:szCs w:val="28"/>
        </w:rPr>
        <w:lastRenderedPageBreak/>
        <w:t>五、經費之編列，分為經常門及資本門，除依附件、教育部補（捐）助及委辦計畫經費編列基準表及中央政府總預算編製作業手冊之規定辦理外，並應遵行下列規定：</w:t>
      </w:r>
    </w:p>
    <w:p w:rsidR="00183524" w:rsidRDefault="00D32133">
      <w:pPr>
        <w:pStyle w:val="Standard"/>
        <w:snapToGrid w:val="0"/>
        <w:spacing w:line="420" w:lineRule="exact"/>
        <w:ind w:left="480"/>
        <w:jc w:val="both"/>
      </w:pPr>
      <w:r>
        <w:rPr>
          <w:rFonts w:ascii="標楷體" w:eastAsia="標楷體" w:hAnsi="標楷體"/>
          <w:bCs/>
          <w:sz w:val="28"/>
          <w:szCs w:val="28"/>
        </w:rPr>
        <w:t>（一）人事費、加班費及行政管理費，不予補助。</w:t>
      </w:r>
    </w:p>
    <w:p w:rsidR="00183524" w:rsidRDefault="00D32133">
      <w:pPr>
        <w:pStyle w:val="Standard"/>
        <w:snapToGrid w:val="0"/>
        <w:spacing w:line="420" w:lineRule="exact"/>
        <w:ind w:left="1320" w:hanging="840"/>
        <w:jc w:val="both"/>
      </w:pPr>
      <w:r>
        <w:rPr>
          <w:rFonts w:ascii="標楷體" w:eastAsia="標楷體" w:hAnsi="標楷體"/>
          <w:bCs/>
          <w:sz w:val="28"/>
          <w:szCs w:val="28"/>
        </w:rPr>
        <w:t>（二）學校各期經常門或資本門各別核定經費之執行率，未達該期經常門或資本門核定經費百分之八十五者，該期經常門或資本門結餘款，按補助比率繳回本署；私立學校如有結餘款，應按原補助比率繳回。</w:t>
      </w:r>
    </w:p>
    <w:p w:rsidR="00183524" w:rsidRDefault="00D32133">
      <w:pPr>
        <w:pStyle w:val="Standard"/>
        <w:snapToGrid w:val="0"/>
        <w:spacing w:line="420" w:lineRule="exact"/>
        <w:jc w:val="both"/>
      </w:pPr>
      <w:r>
        <w:rPr>
          <w:rFonts w:ascii="標楷體" w:eastAsia="標楷體" w:hAnsi="標楷體"/>
          <w:bCs/>
          <w:sz w:val="28"/>
          <w:szCs w:val="28"/>
        </w:rPr>
        <w:t>六、本要點請領補助、核撥及結報之程序如下：</w:t>
      </w:r>
    </w:p>
    <w:p w:rsidR="00183524" w:rsidRDefault="00D32133">
      <w:pPr>
        <w:pStyle w:val="Standard"/>
        <w:snapToGrid w:val="0"/>
        <w:spacing w:line="420" w:lineRule="exact"/>
        <w:ind w:left="480"/>
        <w:jc w:val="both"/>
      </w:pPr>
      <w:r>
        <w:rPr>
          <w:rFonts w:ascii="標楷體" w:eastAsia="標楷體" w:hAnsi="標楷體"/>
          <w:bCs/>
          <w:sz w:val="28"/>
          <w:szCs w:val="28"/>
        </w:rPr>
        <w:t>（一）學校應依本署核定經費額度及期限，辦理請領事宜。</w:t>
      </w:r>
    </w:p>
    <w:p w:rsidR="00183524" w:rsidRDefault="00D32133">
      <w:pPr>
        <w:pStyle w:val="Standard"/>
        <w:snapToGrid w:val="0"/>
        <w:spacing w:line="420" w:lineRule="exact"/>
        <w:ind w:left="1320" w:hanging="840"/>
        <w:jc w:val="both"/>
      </w:pPr>
      <w:r>
        <w:rPr>
          <w:rFonts w:ascii="標楷體" w:eastAsia="標楷體" w:hAnsi="標楷體"/>
          <w:bCs/>
          <w:sz w:val="28"/>
          <w:szCs w:val="28"/>
        </w:rPr>
        <w:t>（二）補助經費應專款專用，並依教育部補(捐)助及委辦經費核撥結報作業要點辦理。經費應於學年度內，依計畫執行，第一期應於當年十二月三十一日前，第二期應於次年七月三十一日前執行完畢，並應於計畫核定執行期間屆滿後二個月內辦理核結。</w:t>
      </w:r>
    </w:p>
    <w:p w:rsidR="00183524" w:rsidRDefault="00D32133">
      <w:pPr>
        <w:pStyle w:val="Standard"/>
        <w:snapToGrid w:val="0"/>
        <w:spacing w:line="420" w:lineRule="exact"/>
        <w:ind w:left="1320" w:hanging="840"/>
        <w:jc w:val="both"/>
      </w:pPr>
      <w:r>
        <w:rPr>
          <w:rFonts w:ascii="標楷體" w:eastAsia="標楷體" w:hAnsi="標楷體"/>
          <w:bCs/>
          <w:sz w:val="28"/>
          <w:szCs w:val="28"/>
        </w:rPr>
        <w:t>（三）計畫之內容有變更必要者，依教育部補（捐）助及委辦經費核撥結報作業要點辦理經費調整。但資本門經費之調整，教育部主管之學校，逕報本署核定，直轄市、縣（市）政府主管之學校，報各該政府轉本署核定，始得依變更後之計畫辦理。</w:t>
      </w:r>
    </w:p>
    <w:p w:rsidR="00183524" w:rsidRDefault="00D32133">
      <w:pPr>
        <w:pStyle w:val="Standard"/>
        <w:snapToGrid w:val="0"/>
        <w:spacing w:line="420" w:lineRule="exact"/>
        <w:ind w:left="1320" w:hanging="840"/>
        <w:jc w:val="both"/>
      </w:pPr>
      <w:r>
        <w:rPr>
          <w:rFonts w:ascii="標楷體" w:eastAsia="標楷體" w:hAnsi="標楷體"/>
          <w:bCs/>
          <w:sz w:val="28"/>
          <w:szCs w:val="28"/>
        </w:rPr>
        <w:t>（四）採購招標後有標餘款項者，以支用於與計畫相關之項目為限；其支用於計畫新增項目者，應依前款規定辦理。</w:t>
      </w:r>
    </w:p>
    <w:p w:rsidR="00183524" w:rsidRDefault="00D32133">
      <w:pPr>
        <w:pStyle w:val="Standard"/>
        <w:snapToGrid w:val="0"/>
        <w:spacing w:line="420" w:lineRule="exact"/>
        <w:jc w:val="both"/>
      </w:pPr>
      <w:r>
        <w:rPr>
          <w:rFonts w:ascii="標楷體" w:eastAsia="標楷體" w:hAnsi="標楷體"/>
          <w:bCs/>
          <w:sz w:val="28"/>
          <w:szCs w:val="28"/>
        </w:rPr>
        <w:t>七、</w:t>
      </w:r>
      <w:r>
        <w:rPr>
          <w:rFonts w:ascii="標楷體" w:eastAsia="標楷體" w:hAnsi="標楷體"/>
          <w:bCs/>
          <w:spacing w:val="-8"/>
          <w:sz w:val="28"/>
          <w:szCs w:val="28"/>
        </w:rPr>
        <w:t>本署得於學校執行計畫期間內，至學校進行本補助經費執行之督導及考核。</w:t>
      </w:r>
    </w:p>
    <w:p w:rsidR="00183524" w:rsidRDefault="00D32133">
      <w:pPr>
        <w:pStyle w:val="Standard"/>
        <w:snapToGrid w:val="0"/>
        <w:spacing w:line="420" w:lineRule="exact"/>
        <w:ind w:left="510" w:hanging="510"/>
        <w:jc w:val="both"/>
      </w:pPr>
      <w:r>
        <w:rPr>
          <w:rFonts w:ascii="標楷體" w:eastAsia="標楷體" w:hAnsi="標楷體"/>
          <w:bCs/>
          <w:sz w:val="28"/>
          <w:szCs w:val="28"/>
        </w:rPr>
        <w:t>八、學校執行本補助經費有違反計畫、本要點或其他法令規定者，本署得廢止本補助處分之全部或一部，或作為下學年度核定本補助之參考；已撥款者，本署應以書面處分通知學校限期返還補助款之全部或一部。</w:t>
      </w:r>
    </w:p>
    <w:p w:rsidR="00183524" w:rsidRDefault="00183524">
      <w:pPr>
        <w:pStyle w:val="Textbody"/>
      </w:pPr>
    </w:p>
    <w:p w:rsidR="00183524" w:rsidRDefault="00183524">
      <w:pPr>
        <w:pStyle w:val="Standard"/>
        <w:jc w:val="center"/>
        <w:rPr>
          <w:rFonts w:ascii="標楷體" w:eastAsia="標楷體" w:hAnsi="標楷體"/>
          <w:b/>
          <w:sz w:val="32"/>
          <w:szCs w:val="32"/>
        </w:rPr>
      </w:pPr>
    </w:p>
    <w:p w:rsidR="00183524" w:rsidRDefault="00183524">
      <w:pPr>
        <w:pStyle w:val="Standard"/>
        <w:jc w:val="center"/>
        <w:rPr>
          <w:rFonts w:ascii="標楷體" w:eastAsia="標楷體" w:hAnsi="標楷體"/>
          <w:b/>
          <w:sz w:val="32"/>
          <w:szCs w:val="32"/>
        </w:rPr>
      </w:pPr>
    </w:p>
    <w:p w:rsidR="00183524" w:rsidRDefault="00183524">
      <w:pPr>
        <w:pStyle w:val="Standard"/>
        <w:jc w:val="center"/>
        <w:rPr>
          <w:rFonts w:ascii="標楷體" w:eastAsia="標楷體" w:hAnsi="標楷體"/>
          <w:b/>
          <w:sz w:val="32"/>
          <w:szCs w:val="32"/>
        </w:rPr>
      </w:pPr>
    </w:p>
    <w:p w:rsidR="00183524" w:rsidRDefault="00183524">
      <w:pPr>
        <w:pStyle w:val="Standard"/>
        <w:jc w:val="center"/>
        <w:rPr>
          <w:rFonts w:ascii="標楷體" w:eastAsia="標楷體" w:hAnsi="標楷體"/>
          <w:b/>
          <w:sz w:val="32"/>
          <w:szCs w:val="32"/>
        </w:rPr>
      </w:pPr>
    </w:p>
    <w:p w:rsidR="00183524" w:rsidRDefault="00183524">
      <w:pPr>
        <w:pStyle w:val="Standard"/>
        <w:jc w:val="center"/>
        <w:rPr>
          <w:rFonts w:ascii="標楷體" w:eastAsia="標楷體" w:hAnsi="標楷體"/>
          <w:b/>
          <w:sz w:val="32"/>
          <w:szCs w:val="32"/>
        </w:rPr>
      </w:pPr>
    </w:p>
    <w:p w:rsidR="00183524" w:rsidRDefault="00183524">
      <w:pPr>
        <w:pStyle w:val="Standard"/>
        <w:jc w:val="center"/>
        <w:rPr>
          <w:rFonts w:ascii="標楷體" w:eastAsia="標楷體" w:hAnsi="標楷體"/>
          <w:b/>
          <w:sz w:val="32"/>
          <w:szCs w:val="32"/>
        </w:rPr>
      </w:pPr>
    </w:p>
    <w:p w:rsidR="00183524" w:rsidRDefault="00183524">
      <w:pPr>
        <w:pStyle w:val="Standard"/>
        <w:jc w:val="center"/>
        <w:rPr>
          <w:rFonts w:ascii="標楷體" w:eastAsia="標楷體" w:hAnsi="標楷體"/>
          <w:b/>
          <w:sz w:val="32"/>
          <w:szCs w:val="32"/>
        </w:rPr>
      </w:pPr>
    </w:p>
    <w:p w:rsidR="00183524" w:rsidRDefault="00183524">
      <w:pPr>
        <w:pStyle w:val="Standard"/>
        <w:jc w:val="center"/>
        <w:rPr>
          <w:rFonts w:ascii="標楷體" w:eastAsia="標楷體" w:hAnsi="標楷體"/>
          <w:b/>
          <w:sz w:val="32"/>
          <w:szCs w:val="32"/>
        </w:rPr>
      </w:pPr>
    </w:p>
    <w:p w:rsidR="00183524" w:rsidRDefault="00183524">
      <w:pPr>
        <w:pStyle w:val="Standard"/>
        <w:jc w:val="center"/>
        <w:rPr>
          <w:rFonts w:ascii="標楷體" w:eastAsia="標楷體" w:hAnsi="標楷體"/>
          <w:b/>
          <w:sz w:val="32"/>
          <w:szCs w:val="32"/>
        </w:rPr>
      </w:pPr>
    </w:p>
    <w:p w:rsidR="00183524" w:rsidRDefault="00183524">
      <w:pPr>
        <w:pStyle w:val="Standard"/>
        <w:jc w:val="center"/>
        <w:rPr>
          <w:rFonts w:ascii="標楷體" w:eastAsia="標楷體" w:hAnsi="標楷體"/>
          <w:b/>
          <w:sz w:val="32"/>
          <w:szCs w:val="32"/>
        </w:rPr>
      </w:pPr>
    </w:p>
    <w:p w:rsidR="00183524" w:rsidRDefault="00183524">
      <w:pPr>
        <w:pStyle w:val="Standard"/>
        <w:jc w:val="center"/>
        <w:rPr>
          <w:rFonts w:ascii="標楷體" w:eastAsia="標楷體" w:hAnsi="標楷體"/>
          <w:b/>
          <w:sz w:val="32"/>
          <w:szCs w:val="32"/>
        </w:rPr>
      </w:pPr>
    </w:p>
    <w:p w:rsidR="00183524" w:rsidRDefault="00183524">
      <w:pPr>
        <w:pStyle w:val="Standard"/>
        <w:jc w:val="center"/>
      </w:pPr>
    </w:p>
    <w:p w:rsidR="00183524" w:rsidRDefault="00D32133">
      <w:pPr>
        <w:pStyle w:val="Standard"/>
      </w:pPr>
      <w:r>
        <w:rPr>
          <w:rFonts w:ascii="標楷體" w:eastAsia="標楷體" w:hAnsi="標楷體"/>
          <w:b/>
          <w:sz w:val="32"/>
          <w:szCs w:val="32"/>
        </w:rPr>
        <w:t>附件</w:t>
      </w:r>
    </w:p>
    <w:p w:rsidR="00183524" w:rsidRDefault="00183524">
      <w:pPr>
        <w:pStyle w:val="Standard"/>
        <w:ind w:right="357"/>
        <w:jc w:val="right"/>
        <w:rPr>
          <w:rFonts w:ascii="標楷體" w:eastAsia="標楷體" w:hAnsi="標楷體"/>
          <w:szCs w:val="24"/>
        </w:rPr>
      </w:pPr>
    </w:p>
    <w:tbl>
      <w:tblPr>
        <w:tblW w:w="10057" w:type="dxa"/>
        <w:jc w:val="center"/>
        <w:tblLayout w:type="fixed"/>
        <w:tblCellMar>
          <w:left w:w="10" w:type="dxa"/>
          <w:right w:w="10" w:type="dxa"/>
        </w:tblCellMar>
        <w:tblLook w:val="0000" w:firstRow="0" w:lastRow="0" w:firstColumn="0" w:lastColumn="0" w:noHBand="0" w:noVBand="0"/>
      </w:tblPr>
      <w:tblGrid>
        <w:gridCol w:w="1438"/>
        <w:gridCol w:w="659"/>
        <w:gridCol w:w="7960"/>
      </w:tblGrid>
      <w:tr w:rsidR="00183524">
        <w:tblPrEx>
          <w:tblCellMar>
            <w:top w:w="0" w:type="dxa"/>
            <w:bottom w:w="0" w:type="dxa"/>
          </w:tblCellMar>
        </w:tblPrEx>
        <w:trPr>
          <w:trHeight w:val="20"/>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snapToGrid w:val="0"/>
              <w:spacing w:line="300" w:lineRule="exact"/>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2616120</wp:posOffset>
                      </wp:positionH>
                      <wp:positionV relativeFrom="paragraph">
                        <wp:posOffset>5880240</wp:posOffset>
                      </wp:positionV>
                      <wp:extent cx="1139400" cy="486360"/>
                      <wp:effectExtent l="0" t="0" r="22650" b="27990"/>
                      <wp:wrapNone/>
                      <wp:docPr id="1" name="形狀2"/>
                      <wp:cNvGraphicFramePr/>
                      <a:graphic xmlns:a="http://schemas.openxmlformats.org/drawingml/2006/main">
                        <a:graphicData uri="http://schemas.microsoft.com/office/word/2010/wordprocessingShape">
                          <wps:wsp>
                            <wps:cNvCnPr/>
                            <wps:spPr>
                              <a:xfrm>
                                <a:off x="0" y="0"/>
                                <a:ext cx="1139400" cy="486360"/>
                              </a:xfrm>
                              <a:prstGeom prst="straightConnector1">
                                <a:avLst/>
                              </a:prstGeom>
                              <a:noFill/>
                              <a:ln w="6480">
                                <a:solidFill>
                                  <a:srgbClr val="000000"/>
                                </a:solidFill>
                                <a:prstDash val="solid"/>
                                <a:miter/>
                              </a:ln>
                            </wps:spPr>
                            <wps:bodyPr/>
                          </wps:wsp>
                        </a:graphicData>
                      </a:graphic>
                    </wp:anchor>
                  </w:drawing>
                </mc:Choice>
                <mc:Fallback>
                  <w:pict>
                    <v:shapetype id="_x0000_t32" coordsize="21600,21600" o:spt="32" o:oned="t" path="m,l21600,21600e" filled="f">
                      <v:path arrowok="t" fillok="f" o:connecttype="none"/>
                      <o:lock v:ext="edit" shapetype="t"/>
                    </v:shapetype>
                    <v:shape id="形狀2" o:spid="_x0000_s1026" type="#_x0000_t32" style="position:absolute;margin-left:206pt;margin-top:463pt;width:89.7pt;height:38.3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" strokeweight=".18mm">
                      <v:stroke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2616120</wp:posOffset>
                      </wp:positionH>
                      <wp:positionV relativeFrom="paragraph">
                        <wp:posOffset>1840319</wp:posOffset>
                      </wp:positionV>
                      <wp:extent cx="1120320" cy="537120"/>
                      <wp:effectExtent l="0" t="0" r="22680" b="34380"/>
                      <wp:wrapNone/>
                      <wp:docPr id="2" name="直線接點 2"/>
                      <wp:cNvGraphicFramePr/>
                      <a:graphic xmlns:a="http://schemas.openxmlformats.org/drawingml/2006/main">
                        <a:graphicData uri="http://schemas.microsoft.com/office/word/2010/wordprocessingShape">
                          <wps:wsp>
                            <wps:cNvCnPr/>
                            <wps:spPr>
                              <a:xfrm>
                                <a:off x="0" y="0"/>
                                <a:ext cx="1120320" cy="537120"/>
                              </a:xfrm>
                              <a:prstGeom prst="straightConnector1">
                                <a:avLst/>
                              </a:prstGeom>
                              <a:noFill/>
                              <a:ln w="6480">
                                <a:solidFill>
                                  <a:srgbClr val="000000"/>
                                </a:solidFill>
                                <a:prstDash val="solid"/>
                                <a:miter/>
                              </a:ln>
                            </wps:spPr>
                            <wps:bodyPr/>
                          </wps:wsp>
                        </a:graphicData>
                      </a:graphic>
                    </wp:anchor>
                  </w:drawing>
                </mc:Choice>
                <mc:Fallback>
                  <w:pict>
                    <v:shape id="直線接點 2" o:spid="_x0000_s1026" type="#_x0000_t32" style="position:absolute;margin-left:206pt;margin-top:144.9pt;width:88.2pt;height:42.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" strokeweight=".18mm">
                      <v:stroke joinstyle="miter"/>
                    </v:shape>
                  </w:pict>
                </mc:Fallback>
              </mc:AlternateContent>
            </w:r>
            <w:r>
              <w:rPr>
                <w:rFonts w:ascii="標楷體" w:eastAsia="標楷體" w:hAnsi="標楷體"/>
                <w:szCs w:val="24"/>
              </w:rPr>
              <w:t>項目</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snapToGrid w:val="0"/>
              <w:spacing w:line="300" w:lineRule="exact"/>
              <w:jc w:val="center"/>
            </w:pPr>
            <w:r>
              <w:rPr>
                <w:rFonts w:ascii="標楷體" w:eastAsia="標楷體" w:hAnsi="標楷體"/>
                <w:spacing w:val="-20"/>
                <w:szCs w:val="24"/>
              </w:rPr>
              <w:t>單位</w:t>
            </w: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snapToGrid w:val="0"/>
              <w:spacing w:line="300" w:lineRule="exact"/>
              <w:jc w:val="center"/>
            </w:pPr>
            <w:r>
              <w:rPr>
                <w:rFonts w:ascii="標楷體" w:eastAsia="標楷體" w:hAnsi="標楷體"/>
                <w:szCs w:val="24"/>
              </w:rPr>
              <w:t>基準及支用說明</w:t>
            </w:r>
          </w:p>
        </w:tc>
      </w:tr>
      <w:tr w:rsidR="00183524">
        <w:tblPrEx>
          <w:tblCellMar>
            <w:top w:w="0" w:type="dxa"/>
            <w:bottom w:w="0" w:type="dxa"/>
          </w:tblCellMar>
        </w:tblPrEx>
        <w:trPr>
          <w:trHeight w:val="567"/>
          <w:jc w:val="center"/>
        </w:trPr>
        <w:tc>
          <w:tcPr>
            <w:tcW w:w="1005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b/>
                <w:szCs w:val="24"/>
              </w:rPr>
              <w:t>一、業務費</w:t>
            </w:r>
          </w:p>
        </w:tc>
      </w:tr>
      <w:tr w:rsidR="00183524">
        <w:tblPrEx>
          <w:tblCellMar>
            <w:top w:w="0" w:type="dxa"/>
            <w:bottom w:w="0" w:type="dxa"/>
          </w:tblCellMar>
        </w:tblPrEx>
        <w:trPr>
          <w:trHeight w:val="4595"/>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講座鐘點費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center"/>
            </w:pPr>
            <w:r>
              <w:rPr>
                <w:rFonts w:ascii="標楷體" w:eastAsia="標楷體" w:hAnsi="標楷體"/>
                <w:szCs w:val="24"/>
              </w:rPr>
              <w:t>節</w:t>
            </w: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一、依「講座鐘點費支給表」規定辦理。</w:t>
            </w:r>
          </w:p>
          <w:p w:rsidR="00183524" w:rsidRDefault="00D32133">
            <w:pPr>
              <w:pStyle w:val="Standard"/>
              <w:spacing w:before="122"/>
              <w:ind w:left="481" w:hanging="481"/>
              <w:jc w:val="both"/>
            </w:pPr>
            <w:r>
              <w:rPr>
                <w:rFonts w:ascii="標楷體" w:eastAsia="標楷體" w:hAnsi="標楷體"/>
                <w:szCs w:val="24"/>
              </w:rPr>
              <w:t>二、講座及授課鐘點費總額，以不超過經常門核定總經費百分之三十為原 則。</w:t>
            </w:r>
          </w:p>
          <w:p w:rsidR="00183524" w:rsidRDefault="00D32133">
            <w:pPr>
              <w:pStyle w:val="Standard"/>
              <w:jc w:val="both"/>
            </w:pPr>
            <w:r>
              <w:rPr>
                <w:rFonts w:ascii="標楷體" w:eastAsia="標楷體" w:hAnsi="標楷體"/>
                <w:szCs w:val="24"/>
              </w:rPr>
              <w:t>三、講座鐘點費編列基準如下表：</w:t>
            </w:r>
          </w:p>
          <w:p w:rsidR="00183524" w:rsidRDefault="00183524">
            <w:pPr>
              <w:pStyle w:val="a5"/>
              <w:ind w:left="447"/>
              <w:jc w:val="both"/>
              <w:rPr>
                <w:rFonts w:ascii="標楷體" w:eastAsia="標楷體" w:hAnsi="標楷體"/>
                <w:sz w:val="20"/>
                <w:szCs w:val="20"/>
              </w:rPr>
            </w:pPr>
          </w:p>
          <w:tbl>
            <w:tblPr>
              <w:tblW w:w="7087" w:type="dxa"/>
              <w:tblInd w:w="331" w:type="dxa"/>
              <w:tblLayout w:type="fixed"/>
              <w:tblCellMar>
                <w:left w:w="10" w:type="dxa"/>
                <w:right w:w="10" w:type="dxa"/>
              </w:tblCellMar>
              <w:tblLook w:val="0000" w:firstRow="0" w:lastRow="0" w:firstColumn="0" w:lastColumn="0" w:noHBand="0" w:noVBand="0"/>
            </w:tblPr>
            <w:tblGrid>
              <w:gridCol w:w="713"/>
              <w:gridCol w:w="993"/>
              <w:gridCol w:w="1786"/>
              <w:gridCol w:w="1842"/>
              <w:gridCol w:w="1753"/>
            </w:tblGrid>
            <w:tr w:rsidR="00183524">
              <w:tblPrEx>
                <w:tblCellMar>
                  <w:top w:w="0" w:type="dxa"/>
                  <w:bottom w:w="0" w:type="dxa"/>
                </w:tblCellMar>
              </w:tblPrEx>
              <w:trPr>
                <w:trHeight w:val="863"/>
              </w:trPr>
              <w:tc>
                <w:tcPr>
                  <w:tcW w:w="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pPr>
                  <w:r>
                    <w:rPr>
                      <w:rFonts w:ascii="標楷體" w:eastAsia="標楷體" w:hAnsi="標楷體"/>
                      <w:szCs w:val="24"/>
                    </w:rPr>
                    <w:t>性質</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pPr>
                  <w:r>
                    <w:rPr>
                      <w:rFonts w:ascii="標楷體" w:eastAsia="標楷體" w:hAnsi="標楷體"/>
                      <w:szCs w:val="24"/>
                    </w:rPr>
                    <w:t>類別</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3524" w:rsidRDefault="00D32133">
                  <w:pPr>
                    <w:pStyle w:val="Textbody"/>
                    <w:widowControl/>
                    <w:overflowPunct w:val="0"/>
                    <w:spacing w:before="48" w:after="0" w:line="240" w:lineRule="exact"/>
                    <w:jc w:val="right"/>
                  </w:pPr>
                  <w:r>
                    <w:rPr>
                      <w:rFonts w:ascii="標楷體" w:eastAsia="標楷體" w:hAnsi="標楷體"/>
                      <w:szCs w:val="24"/>
                    </w:rPr>
                    <w:t>聘任對象</w:t>
                  </w:r>
                </w:p>
                <w:p w:rsidR="00183524" w:rsidRDefault="00183524">
                  <w:pPr>
                    <w:pStyle w:val="Textbody"/>
                    <w:widowControl/>
                    <w:overflowPunct w:val="0"/>
                    <w:spacing w:after="0" w:line="160" w:lineRule="exact"/>
                    <w:jc w:val="right"/>
                    <w:rPr>
                      <w:rFonts w:ascii="標楷體" w:eastAsia="標楷體" w:hAnsi="標楷體"/>
                      <w:szCs w:val="24"/>
                    </w:rPr>
                  </w:pPr>
                </w:p>
                <w:p w:rsidR="00183524" w:rsidRDefault="00D32133">
                  <w:pPr>
                    <w:pStyle w:val="Textbody"/>
                    <w:widowControl/>
                    <w:overflowPunct w:val="0"/>
                    <w:snapToGrid w:val="0"/>
                    <w:spacing w:after="48" w:line="240" w:lineRule="exact"/>
                  </w:pPr>
                  <w:r>
                    <w:rPr>
                      <w:rFonts w:ascii="標楷體" w:eastAsia="標楷體" w:hAnsi="標楷體"/>
                      <w:szCs w:val="24"/>
                    </w:rPr>
                    <w:t>授課對象</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pPr>
                  <w:r>
                    <w:rPr>
                      <w:rFonts w:ascii="標楷體" w:eastAsia="標楷體" w:hAnsi="標楷體"/>
                      <w:bCs/>
                      <w:szCs w:val="24"/>
                    </w:rPr>
                    <w:t>內聘</w:t>
                  </w:r>
                </w:p>
              </w:tc>
              <w:tc>
                <w:tcPr>
                  <w:tcW w:w="1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spacing w:line="240" w:lineRule="exact"/>
                    <w:jc w:val="center"/>
                  </w:pPr>
                  <w:r>
                    <w:rPr>
                      <w:rFonts w:ascii="標楷體" w:eastAsia="標楷體" w:hAnsi="標楷體"/>
                      <w:bCs/>
                      <w:szCs w:val="24"/>
                    </w:rPr>
                    <w:t>外聘</w:t>
                  </w:r>
                </w:p>
              </w:tc>
            </w:tr>
            <w:tr w:rsidR="00183524">
              <w:tblPrEx>
                <w:tblCellMar>
                  <w:top w:w="0" w:type="dxa"/>
                  <w:bottom w:w="0" w:type="dxa"/>
                </w:tblCellMar>
              </w:tblPrEx>
              <w:trPr>
                <w:trHeight w:val="720"/>
              </w:trPr>
              <w:tc>
                <w:tcPr>
                  <w:tcW w:w="7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pPr>
                  <w:r>
                    <w:rPr>
                      <w:rFonts w:ascii="標楷體" w:eastAsia="標楷體" w:hAnsi="標楷體"/>
                      <w:bCs/>
                      <w:szCs w:val="24"/>
                    </w:rPr>
                    <w:t>活動性質</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rPr>
                      <w:rFonts w:ascii="標楷體" w:eastAsia="標楷體" w:hAnsi="標楷體"/>
                      <w:bCs/>
                      <w:szCs w:val="24"/>
                    </w:rPr>
                  </w:pPr>
                  <w:r>
                    <w:rPr>
                      <w:rFonts w:ascii="標楷體" w:eastAsia="標楷體" w:hAnsi="標楷體"/>
                      <w:bCs/>
                      <w:szCs w:val="24"/>
                    </w:rPr>
                    <w:t>講座</w:t>
                  </w:r>
                </w:p>
                <w:p w:rsidR="00183524" w:rsidRDefault="00D32133">
                  <w:pPr>
                    <w:pStyle w:val="Textbody"/>
                    <w:widowControl/>
                    <w:overflowPunct w:val="0"/>
                    <w:spacing w:line="240" w:lineRule="exact"/>
                    <w:jc w:val="center"/>
                  </w:pPr>
                  <w:r>
                    <w:rPr>
                      <w:rFonts w:ascii="標楷體" w:eastAsia="標楷體" w:hAnsi="標楷體"/>
                      <w:bCs/>
                      <w:szCs w:val="24"/>
                    </w:rPr>
                    <w:t>鐘點費</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pPr>
                  <w:r>
                    <w:rPr>
                      <w:rFonts w:ascii="標楷體" w:eastAsia="標楷體" w:hAnsi="標楷體"/>
                      <w:szCs w:val="24"/>
                    </w:rPr>
                    <w:t>教師、學生</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pPr>
                  <w:r>
                    <w:rPr>
                      <w:rFonts w:ascii="標楷體" w:eastAsia="標楷體" w:hAnsi="標楷體"/>
                      <w:bCs/>
                      <w:szCs w:val="24"/>
                    </w:rPr>
                    <w:t>1,000元為限</w:t>
                  </w:r>
                </w:p>
              </w:tc>
              <w:tc>
                <w:tcPr>
                  <w:tcW w:w="1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spacing w:line="240" w:lineRule="exact"/>
                    <w:jc w:val="center"/>
                  </w:pPr>
                  <w:r>
                    <w:rPr>
                      <w:rFonts w:ascii="標楷體" w:eastAsia="標楷體" w:hAnsi="標楷體"/>
                      <w:bCs/>
                      <w:szCs w:val="24"/>
                    </w:rPr>
                    <w:t>2,000元為限</w:t>
                  </w:r>
                </w:p>
              </w:tc>
            </w:tr>
            <w:tr w:rsidR="00183524">
              <w:tblPrEx>
                <w:tblCellMar>
                  <w:top w:w="0" w:type="dxa"/>
                  <w:bottom w:w="0" w:type="dxa"/>
                </w:tblCellMar>
              </w:tblPrEx>
              <w:trPr>
                <w:trHeight w:val="720"/>
              </w:trPr>
              <w:tc>
                <w:tcPr>
                  <w:tcW w:w="7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133" w:rsidRDefault="00D32133"/>
              </w:tc>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133" w:rsidRDefault="00D32133"/>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pPr>
                  <w:r>
                    <w:rPr>
                      <w:rFonts w:ascii="標楷體" w:eastAsia="標楷體" w:hAnsi="標楷體"/>
                      <w:szCs w:val="24"/>
                    </w:rPr>
                    <w:t>有從屬關係</w:t>
                  </w:r>
                </w:p>
                <w:p w:rsidR="00183524" w:rsidRDefault="00D32133">
                  <w:pPr>
                    <w:pStyle w:val="Textbody"/>
                    <w:widowControl/>
                    <w:overflowPunct w:val="0"/>
                    <w:spacing w:line="240" w:lineRule="exact"/>
                    <w:jc w:val="center"/>
                  </w:pPr>
                  <w:r>
                    <w:rPr>
                      <w:rFonts w:ascii="標楷體" w:eastAsia="標楷體" w:hAnsi="標楷體"/>
                      <w:szCs w:val="24"/>
                    </w:rPr>
                    <w:t>之單位</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pPr>
                  <w:r>
                    <w:rPr>
                      <w:rFonts w:ascii="標楷體" w:eastAsia="標楷體" w:hAnsi="標楷體"/>
                      <w:bCs/>
                      <w:szCs w:val="24"/>
                    </w:rPr>
                    <w:t>1,000元為限</w:t>
                  </w:r>
                </w:p>
              </w:tc>
              <w:tc>
                <w:tcPr>
                  <w:tcW w:w="1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spacing w:line="240" w:lineRule="exact"/>
                    <w:jc w:val="center"/>
                  </w:pPr>
                  <w:r>
                    <w:rPr>
                      <w:rFonts w:ascii="標楷體" w:eastAsia="標楷體" w:hAnsi="標楷體"/>
                      <w:bCs/>
                      <w:szCs w:val="24"/>
                    </w:rPr>
                    <w:t>1,500元為限</w:t>
                  </w:r>
                </w:p>
              </w:tc>
            </w:tr>
          </w:tbl>
          <w:p w:rsidR="00183524" w:rsidRDefault="00183524">
            <w:pPr>
              <w:pStyle w:val="a5"/>
              <w:ind w:left="447"/>
              <w:jc w:val="both"/>
              <w:rPr>
                <w:rFonts w:ascii="標楷體" w:eastAsia="標楷體" w:hAnsi="標楷體"/>
                <w:szCs w:val="24"/>
              </w:rPr>
            </w:pPr>
          </w:p>
        </w:tc>
      </w:tr>
      <w:tr w:rsidR="00183524">
        <w:tblPrEx>
          <w:tblCellMar>
            <w:top w:w="0" w:type="dxa"/>
            <w:bottom w:w="0" w:type="dxa"/>
          </w:tblCellMar>
        </w:tblPrEx>
        <w:trPr>
          <w:trHeight w:val="2400"/>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授課鐘點費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center"/>
              <w:rPr>
                <w:rFonts w:ascii="標楷體" w:eastAsia="標楷體" w:hAnsi="標楷體"/>
              </w:rPr>
            </w:pPr>
            <w:r>
              <w:rPr>
                <w:rFonts w:ascii="標楷體" w:eastAsia="標楷體" w:hAnsi="標楷體"/>
              </w:rPr>
              <w:t>節</w:t>
            </w: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numPr>
                <w:ilvl w:val="0"/>
                <w:numId w:val="16"/>
              </w:numPr>
              <w:spacing w:before="120"/>
              <w:ind w:left="482" w:hanging="482"/>
              <w:jc w:val="both"/>
              <w:rPr>
                <w:rFonts w:ascii="標楷體" w:eastAsia="標楷體" w:hAnsi="標楷體"/>
              </w:rPr>
            </w:pPr>
            <w:r>
              <w:rPr>
                <w:rFonts w:ascii="標楷體" w:eastAsia="標楷體" w:hAnsi="標楷體"/>
              </w:rPr>
              <w:t>依「公立中小學兼任及代課教師鐘點費支給基準」規定，鐘點費為新臺幣（以下同）四百元；寒(暑)假及依總綱規定之每週上課節數外，比照課業輔導，鐘點費為五百五十元。</w:t>
            </w:r>
          </w:p>
          <w:p w:rsidR="00183524" w:rsidRDefault="00D32133">
            <w:pPr>
              <w:pStyle w:val="Standard"/>
              <w:numPr>
                <w:ilvl w:val="0"/>
                <w:numId w:val="16"/>
              </w:numPr>
              <w:spacing w:before="120"/>
              <w:ind w:left="482" w:hanging="482"/>
              <w:jc w:val="both"/>
            </w:pPr>
            <w:r>
              <w:rPr>
                <w:rFonts w:ascii="標楷體" w:eastAsia="標楷體" w:hAnsi="標楷體"/>
              </w:rPr>
              <w:t>講</w:t>
            </w:r>
            <w:r>
              <w:rPr>
                <w:rFonts w:ascii="標楷體" w:eastAsia="標楷體" w:hAnsi="標楷體"/>
                <w:szCs w:val="24"/>
              </w:rPr>
              <w:t>座</w:t>
            </w:r>
            <w:r>
              <w:rPr>
                <w:rFonts w:ascii="標楷體" w:eastAsia="標楷體" w:hAnsi="標楷體"/>
              </w:rPr>
              <w:t>及授課鐘點費總額，以不超過經常門核定總經費百分之三十為原則。</w:t>
            </w:r>
          </w:p>
          <w:p w:rsidR="00183524" w:rsidRDefault="00D32133">
            <w:pPr>
              <w:pStyle w:val="Standard"/>
              <w:numPr>
                <w:ilvl w:val="0"/>
                <w:numId w:val="16"/>
              </w:numPr>
              <w:spacing w:before="120"/>
              <w:ind w:left="482" w:hanging="482"/>
              <w:jc w:val="both"/>
            </w:pPr>
            <w:r>
              <w:rPr>
                <w:rFonts w:ascii="標楷體" w:eastAsia="標楷體" w:hAnsi="標楷體"/>
                <w:szCs w:val="24"/>
              </w:rPr>
              <w:t>專科</w:t>
            </w:r>
            <w:r>
              <w:rPr>
                <w:rFonts w:ascii="標楷體" w:eastAsia="標楷體" w:hAnsi="標楷體"/>
              </w:rPr>
              <w:t>以上學校教師至高級中等學校授課，其鐘點費比照公立大專校院兼任教師鐘點費支給基準表規定支給，其在校外授課時數，仍應受原服務學校相關規定之規範。</w:t>
            </w:r>
          </w:p>
          <w:p w:rsidR="00183524" w:rsidRDefault="00D32133">
            <w:pPr>
              <w:pStyle w:val="Standard"/>
              <w:numPr>
                <w:ilvl w:val="0"/>
                <w:numId w:val="16"/>
              </w:numPr>
              <w:spacing w:before="120"/>
              <w:ind w:left="482" w:hanging="482"/>
              <w:jc w:val="both"/>
              <w:rPr>
                <w:rFonts w:ascii="標楷體" w:eastAsia="標楷體" w:hAnsi="標楷體"/>
              </w:rPr>
            </w:pPr>
            <w:r>
              <w:rPr>
                <w:rFonts w:ascii="標楷體" w:eastAsia="標楷體" w:hAnsi="標楷體"/>
              </w:rPr>
              <w:t>授課鐘點費編列基準如下表：</w:t>
            </w:r>
          </w:p>
          <w:p w:rsidR="00183524" w:rsidRDefault="00183524">
            <w:pPr>
              <w:pStyle w:val="Standard"/>
              <w:ind w:left="456"/>
              <w:jc w:val="both"/>
            </w:pPr>
          </w:p>
          <w:tbl>
            <w:tblPr>
              <w:tblW w:w="7082" w:type="dxa"/>
              <w:tblInd w:w="336" w:type="dxa"/>
              <w:tblLayout w:type="fixed"/>
              <w:tblCellMar>
                <w:left w:w="10" w:type="dxa"/>
                <w:right w:w="10" w:type="dxa"/>
              </w:tblCellMar>
              <w:tblLook w:val="0000" w:firstRow="0" w:lastRow="0" w:firstColumn="0" w:lastColumn="0" w:noHBand="0" w:noVBand="0"/>
            </w:tblPr>
            <w:tblGrid>
              <w:gridCol w:w="708"/>
              <w:gridCol w:w="993"/>
              <w:gridCol w:w="1786"/>
              <w:gridCol w:w="1134"/>
              <w:gridCol w:w="1134"/>
              <w:gridCol w:w="1327"/>
            </w:tblGrid>
            <w:tr w:rsidR="00183524">
              <w:tblPrEx>
                <w:tblCellMar>
                  <w:top w:w="0" w:type="dxa"/>
                  <w:bottom w:w="0" w:type="dxa"/>
                </w:tblCellMar>
              </w:tblPrEx>
              <w:trPr>
                <w:trHeight w:val="737"/>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pPr>
                  <w:r>
                    <w:rPr>
                      <w:rFonts w:ascii="標楷體" w:eastAsia="標楷體" w:hAnsi="標楷體"/>
                      <w:szCs w:val="24"/>
                    </w:rPr>
                    <w:t>性質</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pPr>
                  <w:r>
                    <w:rPr>
                      <w:rFonts w:ascii="標楷體" w:eastAsia="標楷體" w:hAnsi="標楷體"/>
                      <w:szCs w:val="24"/>
                    </w:rPr>
                    <w:t>類別</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3524" w:rsidRDefault="00D32133">
                  <w:pPr>
                    <w:pStyle w:val="Textbody"/>
                    <w:widowControl/>
                    <w:overflowPunct w:val="0"/>
                    <w:spacing w:before="24" w:after="0" w:line="240" w:lineRule="exact"/>
                    <w:jc w:val="right"/>
                  </w:pPr>
                  <w:r>
                    <w:rPr>
                      <w:rFonts w:ascii="標楷體" w:eastAsia="標楷體" w:hAnsi="標楷體"/>
                      <w:szCs w:val="24"/>
                    </w:rPr>
                    <w:t>聘任對象</w:t>
                  </w:r>
                </w:p>
                <w:p w:rsidR="00183524" w:rsidRDefault="00183524">
                  <w:pPr>
                    <w:pStyle w:val="Textbody"/>
                    <w:widowControl/>
                    <w:overflowPunct w:val="0"/>
                    <w:spacing w:after="0" w:line="240" w:lineRule="exact"/>
                    <w:jc w:val="right"/>
                    <w:rPr>
                      <w:rFonts w:ascii="標楷體" w:eastAsia="標楷體" w:hAnsi="標楷體"/>
                      <w:szCs w:val="24"/>
                    </w:rPr>
                  </w:pPr>
                </w:p>
                <w:p w:rsidR="00183524" w:rsidRDefault="00D32133">
                  <w:pPr>
                    <w:pStyle w:val="Textbody"/>
                    <w:widowControl/>
                    <w:overflowPunct w:val="0"/>
                    <w:spacing w:after="24" w:line="240" w:lineRule="exact"/>
                  </w:pPr>
                  <w:r>
                    <w:rPr>
                      <w:rFonts w:ascii="標楷體" w:eastAsia="標楷體" w:hAnsi="標楷體"/>
                      <w:szCs w:val="24"/>
                    </w:rPr>
                    <w:t>授課對象</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pPr>
                  <w:r>
                    <w:rPr>
                      <w:rFonts w:ascii="標楷體" w:eastAsia="標楷體" w:hAnsi="標楷體"/>
                      <w:bCs/>
                      <w:szCs w:val="24"/>
                    </w:rPr>
                    <w:t>內聘</w:t>
                  </w:r>
                </w:p>
              </w:tc>
              <w:tc>
                <w:tcPr>
                  <w:tcW w:w="24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spacing w:line="240" w:lineRule="exact"/>
                    <w:jc w:val="center"/>
                  </w:pPr>
                  <w:r>
                    <w:rPr>
                      <w:rFonts w:ascii="標楷體" w:eastAsia="標楷體" w:hAnsi="標楷體"/>
                      <w:bCs/>
                      <w:szCs w:val="24"/>
                    </w:rPr>
                    <w:t>外聘</w:t>
                  </w:r>
                </w:p>
              </w:tc>
            </w:tr>
            <w:tr w:rsidR="00183524">
              <w:tblPrEx>
                <w:tblCellMar>
                  <w:top w:w="0" w:type="dxa"/>
                  <w:bottom w:w="0" w:type="dxa"/>
                </w:tblCellMar>
              </w:tblPrEx>
              <w:trPr>
                <w:trHeight w:val="941"/>
              </w:trPr>
              <w:tc>
                <w:tcPr>
                  <w:tcW w:w="7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pPr>
                  <w:r>
                    <w:rPr>
                      <w:rFonts w:ascii="標楷體" w:eastAsia="標楷體" w:hAnsi="標楷體"/>
                      <w:bCs/>
                      <w:szCs w:val="24"/>
                    </w:rPr>
                    <w:t>課程性質</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rPr>
                      <w:rFonts w:ascii="標楷體" w:eastAsia="標楷體" w:hAnsi="標楷體"/>
                      <w:bCs/>
                      <w:szCs w:val="24"/>
                    </w:rPr>
                  </w:pPr>
                  <w:r>
                    <w:rPr>
                      <w:rFonts w:ascii="標楷體" w:eastAsia="標楷體" w:hAnsi="標楷體"/>
                      <w:bCs/>
                      <w:szCs w:val="24"/>
                    </w:rPr>
                    <w:t>授課</w:t>
                  </w:r>
                </w:p>
                <w:p w:rsidR="00183524" w:rsidRDefault="00D32133">
                  <w:pPr>
                    <w:pStyle w:val="Textbody"/>
                    <w:widowControl/>
                    <w:overflowPunct w:val="0"/>
                    <w:spacing w:line="240" w:lineRule="exact"/>
                    <w:jc w:val="center"/>
                  </w:pPr>
                  <w:r>
                    <w:rPr>
                      <w:rFonts w:ascii="標楷體" w:eastAsia="標楷體" w:hAnsi="標楷體"/>
                      <w:bCs/>
                      <w:szCs w:val="24"/>
                    </w:rPr>
                    <w:t>鐘點費</w:t>
                  </w:r>
                </w:p>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pPr>
                  <w:r>
                    <w:rPr>
                      <w:rFonts w:ascii="標楷體" w:eastAsia="標楷體" w:hAnsi="標楷體"/>
                      <w:szCs w:val="24"/>
                    </w:rPr>
                    <w:t>每週上課節數內</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pPr>
                  <w:r>
                    <w:rPr>
                      <w:rFonts w:ascii="標楷體" w:eastAsia="標楷體" w:hAnsi="標楷體"/>
                      <w:bCs/>
                      <w:szCs w:val="24"/>
                    </w:rPr>
                    <w:t>400元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pPr>
                  <w:r>
                    <w:rPr>
                      <w:rFonts w:ascii="標楷體" w:eastAsia="標楷體" w:hAnsi="標楷體"/>
                      <w:bCs/>
                      <w:szCs w:val="24"/>
                    </w:rPr>
                    <w:t>400元</w:t>
                  </w:r>
                </w:p>
              </w:tc>
              <w:tc>
                <w:tcPr>
                  <w:tcW w:w="13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spacing w:line="240" w:lineRule="exact"/>
                    <w:jc w:val="both"/>
                  </w:pPr>
                  <w:r>
                    <w:rPr>
                      <w:rFonts w:ascii="標楷體" w:eastAsia="標楷體" w:hAnsi="標楷體"/>
                      <w:szCs w:val="24"/>
                    </w:rPr>
                    <w:t>大專校院以上教師，以</w:t>
                  </w:r>
                  <w:r>
                    <w:rPr>
                      <w:rFonts w:ascii="標楷體" w:eastAsia="標楷體" w:hAnsi="標楷體"/>
                      <w:bCs/>
                      <w:szCs w:val="24"/>
                    </w:rPr>
                    <w:t>大專校院教師鐘點</w:t>
                  </w:r>
                  <w:r>
                    <w:rPr>
                      <w:rFonts w:ascii="標楷體" w:eastAsia="標楷體" w:hAnsi="標楷體"/>
                      <w:szCs w:val="24"/>
                    </w:rPr>
                    <w:t>費計</w:t>
                  </w:r>
                </w:p>
              </w:tc>
            </w:tr>
            <w:tr w:rsidR="00183524">
              <w:tblPrEx>
                <w:tblCellMar>
                  <w:top w:w="0" w:type="dxa"/>
                  <w:bottom w:w="0" w:type="dxa"/>
                </w:tblCellMar>
              </w:tblPrEx>
              <w:trPr>
                <w:trHeight w:val="935"/>
              </w:trPr>
              <w:tc>
                <w:tcPr>
                  <w:tcW w:w="7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133" w:rsidRDefault="00D32133"/>
              </w:tc>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133" w:rsidRDefault="00D32133"/>
              </w:tc>
              <w:tc>
                <w:tcPr>
                  <w:tcW w:w="1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rPr>
                      <w:rFonts w:ascii="標楷體" w:eastAsia="標楷體" w:hAnsi="標楷體"/>
                      <w:szCs w:val="24"/>
                    </w:rPr>
                  </w:pPr>
                  <w:r>
                    <w:rPr>
                      <w:rFonts w:ascii="標楷體" w:eastAsia="標楷體" w:hAnsi="標楷體"/>
                      <w:szCs w:val="24"/>
                    </w:rPr>
                    <w:t>寒(暑)假及依總綱規定之每週上課節數外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rPr>
                      <w:rFonts w:ascii="標楷體" w:eastAsia="標楷體" w:hAnsi="標楷體"/>
                      <w:bCs/>
                      <w:szCs w:val="24"/>
                    </w:rPr>
                  </w:pPr>
                  <w:r>
                    <w:rPr>
                      <w:rFonts w:ascii="標楷體" w:eastAsia="標楷體" w:hAnsi="標楷體"/>
                      <w:bCs/>
                      <w:szCs w:val="24"/>
                    </w:rPr>
                    <w:t>550元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3524" w:rsidRDefault="00D32133">
                  <w:pPr>
                    <w:pStyle w:val="Textbody"/>
                    <w:widowControl/>
                    <w:overflowPunct w:val="0"/>
                    <w:spacing w:line="240" w:lineRule="exact"/>
                    <w:jc w:val="center"/>
                    <w:rPr>
                      <w:rFonts w:ascii="標楷體" w:eastAsia="標楷體" w:hAnsi="標楷體"/>
                      <w:bCs/>
                      <w:szCs w:val="24"/>
                    </w:rPr>
                  </w:pPr>
                  <w:r>
                    <w:rPr>
                      <w:rFonts w:ascii="標楷體" w:eastAsia="標楷體" w:hAnsi="標楷體"/>
                      <w:bCs/>
                      <w:szCs w:val="24"/>
                    </w:rPr>
                    <w:t>550元</w:t>
                  </w:r>
                </w:p>
              </w:tc>
              <w:tc>
                <w:tcPr>
                  <w:tcW w:w="13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2133" w:rsidRDefault="00D32133"/>
              </w:tc>
            </w:tr>
          </w:tbl>
          <w:p w:rsidR="00183524" w:rsidRDefault="00D32133">
            <w:pPr>
              <w:pStyle w:val="Standard"/>
              <w:numPr>
                <w:ilvl w:val="0"/>
                <w:numId w:val="16"/>
              </w:numPr>
              <w:spacing w:before="240"/>
              <w:ind w:left="482" w:hanging="482"/>
              <w:jc w:val="both"/>
            </w:pPr>
            <w:r>
              <w:rPr>
                <w:rFonts w:ascii="標楷體" w:eastAsia="標楷體" w:hAnsi="標楷體"/>
                <w:color w:val="000000"/>
              </w:rPr>
              <w:t>除聘用大專校院以上教師授課者外，</w:t>
            </w:r>
            <w:r>
              <w:rPr>
                <w:rFonts w:ascii="標楷體" w:eastAsia="標楷體" w:hAnsi="標楷體"/>
              </w:rPr>
              <w:t>為配合「補助高級中等學校實施十二年國民</w:t>
            </w:r>
            <w:r>
              <w:rPr>
                <w:rFonts w:ascii="標楷體" w:eastAsia="標楷體" w:hAnsi="標楷體"/>
                <w:szCs w:val="24"/>
              </w:rPr>
              <w:t>基本教育</w:t>
            </w:r>
            <w:r>
              <w:rPr>
                <w:rFonts w:ascii="標楷體" w:eastAsia="標楷體" w:hAnsi="標楷體"/>
              </w:rPr>
              <w:t>課程及國立高級中等學校教師每週教學節數標準新增鐘點費要點」(以下簡稱新增鐘點費要點)及考量經費不重複補助為原則，說明如下：</w:t>
            </w:r>
          </w:p>
          <w:p w:rsidR="00183524" w:rsidRDefault="00D32133">
            <w:pPr>
              <w:pStyle w:val="Standard"/>
              <w:ind w:left="960" w:hanging="480"/>
              <w:jc w:val="both"/>
              <w:rPr>
                <w:rFonts w:ascii="標楷體" w:eastAsia="標楷體" w:hAnsi="標楷體"/>
              </w:rPr>
            </w:pPr>
            <w:r>
              <w:rPr>
                <w:rFonts w:ascii="標楷體" w:eastAsia="標楷體" w:hAnsi="標楷體"/>
              </w:rPr>
              <w:t>(一)私立學校：已依新增鐘點費要點規定，補助私立學校實施新課綱</w:t>
            </w:r>
            <w:r>
              <w:rPr>
                <w:rFonts w:ascii="標楷體" w:eastAsia="標楷體" w:hAnsi="標楷體"/>
              </w:rPr>
              <w:lastRenderedPageBreak/>
              <w:t>之校訂選修及課程諮詢教師者，該校不得再依本計畫提出該二項經費之申請。</w:t>
            </w:r>
          </w:p>
          <w:p w:rsidR="00183524" w:rsidRDefault="00D32133">
            <w:pPr>
              <w:pStyle w:val="Standard"/>
              <w:ind w:left="960" w:hanging="480"/>
              <w:jc w:val="both"/>
              <w:rPr>
                <w:rFonts w:ascii="標楷體" w:eastAsia="標楷體" w:hAnsi="標楷體"/>
              </w:rPr>
            </w:pPr>
            <w:r>
              <w:rPr>
                <w:rFonts w:ascii="標楷體" w:eastAsia="標楷體" w:hAnsi="標楷體"/>
              </w:rPr>
              <w:t>(二)公立學校：適用新課綱班級實施課程教學增加之鐘點費，應依新增鐘點費要點之規定申請；試辦新課綱班級所需課程教學之鐘點費，依本計畫申請。</w:t>
            </w:r>
          </w:p>
          <w:p w:rsidR="00183524" w:rsidRDefault="00D32133">
            <w:pPr>
              <w:pStyle w:val="Standard"/>
              <w:numPr>
                <w:ilvl w:val="0"/>
                <w:numId w:val="16"/>
              </w:numPr>
              <w:ind w:left="482" w:hanging="482"/>
              <w:jc w:val="both"/>
            </w:pPr>
            <w:r>
              <w:rPr>
                <w:rFonts w:ascii="標楷體" w:eastAsia="標楷體" w:hAnsi="標楷體"/>
              </w:rPr>
              <w:t>不得</w:t>
            </w:r>
            <w:r>
              <w:rPr>
                <w:rFonts w:ascii="標楷體" w:eastAsia="標楷體" w:hAnsi="標楷體"/>
                <w:szCs w:val="24"/>
              </w:rPr>
              <w:t>支用</w:t>
            </w:r>
            <w:r>
              <w:rPr>
                <w:rFonts w:ascii="標楷體" w:eastAsia="標楷體" w:hAnsi="標楷體"/>
              </w:rPr>
              <w:t>於學校常態應支出之教師薪資支出，且僅得以「節」核實編列。</w:t>
            </w:r>
          </w:p>
          <w:p w:rsidR="00183524" w:rsidRDefault="00D32133">
            <w:pPr>
              <w:pStyle w:val="Standard"/>
              <w:numPr>
                <w:ilvl w:val="0"/>
                <w:numId w:val="16"/>
              </w:numPr>
              <w:ind w:left="482" w:hanging="482"/>
              <w:jc w:val="both"/>
            </w:pPr>
            <w:r>
              <w:rPr>
                <w:rFonts w:ascii="標楷體" w:eastAsia="標楷體" w:hAnsi="標楷體"/>
              </w:rPr>
              <w:t>補救</w:t>
            </w:r>
            <w:r>
              <w:rPr>
                <w:rFonts w:ascii="標楷體" w:eastAsia="標楷體" w:hAnsi="標楷體"/>
                <w:szCs w:val="24"/>
              </w:rPr>
              <w:t>教學</w:t>
            </w:r>
            <w:r>
              <w:rPr>
                <w:rFonts w:ascii="標楷體" w:eastAsia="標楷體" w:hAnsi="標楷體"/>
              </w:rPr>
              <w:t>、差異化教學等屬學習扶助課程鐘點費，不予補助。</w:t>
            </w:r>
          </w:p>
        </w:tc>
      </w:tr>
      <w:tr w:rsidR="00183524">
        <w:tblPrEx>
          <w:tblCellMar>
            <w:top w:w="0" w:type="dxa"/>
            <w:bottom w:w="0" w:type="dxa"/>
          </w:tblCellMar>
        </w:tblPrEx>
        <w:trPr>
          <w:trHeight w:val="1020"/>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lastRenderedPageBreak/>
              <w:t>諮詢費、輔導費、指導費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center"/>
            </w:pPr>
            <w:r>
              <w:rPr>
                <w:rFonts w:ascii="標楷體" w:eastAsia="標楷體" w:hAnsi="標楷體"/>
                <w:szCs w:val="24"/>
              </w:rPr>
              <w:t>人次</w:t>
            </w: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依「中央政府各機關學校出席費及稿費支給要點」規定之出席費項目辦理。</w:t>
            </w:r>
          </w:p>
        </w:tc>
      </w:tr>
      <w:tr w:rsidR="00183524">
        <w:tblPrEx>
          <w:tblCellMar>
            <w:top w:w="0" w:type="dxa"/>
            <w:bottom w:w="0" w:type="dxa"/>
          </w:tblCellMar>
        </w:tblPrEx>
        <w:trPr>
          <w:trHeight w:val="1382"/>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稿費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183524">
            <w:pPr>
              <w:pStyle w:val="Standard"/>
              <w:jc w:val="center"/>
              <w:rPr>
                <w:rFonts w:ascii="標楷體" w:eastAsia="標楷體" w:hAnsi="標楷體"/>
                <w:szCs w:val="24"/>
              </w:rPr>
            </w:pP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研發創新教材之校訂必修課程，經校內課程發展委員會審定，並簽具智慧財產授權書，讓學術機關、學校等公眾使用者，得依稿費科目之標準支給費用，最高不超過經常門核定總經費</w:t>
            </w:r>
            <w:r>
              <w:rPr>
                <w:rFonts w:ascii="標楷體" w:eastAsia="標楷體" w:hAnsi="標楷體"/>
              </w:rPr>
              <w:t>百分之三</w:t>
            </w:r>
            <w:r>
              <w:rPr>
                <w:rFonts w:ascii="標楷體" w:eastAsia="標楷體" w:hAnsi="標楷體"/>
                <w:szCs w:val="24"/>
              </w:rPr>
              <w:t>；</w:t>
            </w:r>
            <w:r>
              <w:rPr>
                <w:rFonts w:ascii="標楷體" w:eastAsia="標楷體" w:hAnsi="標楷體"/>
                <w:color w:val="000000"/>
                <w:szCs w:val="24"/>
              </w:rPr>
              <w:t>偏遠或小校之校訂選修課程亦得依前述規定辦理。</w:t>
            </w:r>
          </w:p>
        </w:tc>
      </w:tr>
      <w:tr w:rsidR="00183524">
        <w:tblPrEx>
          <w:tblCellMar>
            <w:top w:w="0" w:type="dxa"/>
            <w:bottom w:w="0" w:type="dxa"/>
          </w:tblCellMar>
        </w:tblPrEx>
        <w:trPr>
          <w:trHeight w:val="2325"/>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臨時工作人員/工讀費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center"/>
            </w:pPr>
            <w:r>
              <w:rPr>
                <w:rFonts w:ascii="標楷體" w:eastAsia="標楷體" w:hAnsi="標楷體"/>
                <w:szCs w:val="24"/>
              </w:rPr>
              <w:t>小時</w:t>
            </w: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一、工讀費編列總額，以不超過經常門核定總經費百分之五為原則。</w:t>
            </w:r>
          </w:p>
          <w:p w:rsidR="00183524" w:rsidRDefault="00D32133">
            <w:pPr>
              <w:pStyle w:val="Standard"/>
              <w:jc w:val="both"/>
            </w:pPr>
            <w:r>
              <w:rPr>
                <w:rFonts w:ascii="標楷體" w:eastAsia="標楷體" w:hAnsi="標楷體"/>
                <w:szCs w:val="24"/>
              </w:rPr>
              <w:t>二、薪資，以支領當時勞動基準法所定最低基本工資一點二倍為限。</w:t>
            </w:r>
          </w:p>
          <w:p w:rsidR="00183524" w:rsidRDefault="00D32133">
            <w:pPr>
              <w:pStyle w:val="Standard"/>
              <w:ind w:left="481" w:hanging="481"/>
              <w:jc w:val="both"/>
            </w:pPr>
            <w:r>
              <w:rPr>
                <w:rFonts w:ascii="標楷體" w:eastAsia="標楷體" w:hAnsi="標楷體"/>
                <w:szCs w:val="24"/>
              </w:rPr>
              <w:t>三、辦理各類會議、講習訓練或研討（習）會所需臨時人力，以參加人數十分之一為限；其工作日數，以會期加計前後一日為限。</w:t>
            </w:r>
          </w:p>
          <w:p w:rsidR="00183524" w:rsidRDefault="00D32133">
            <w:pPr>
              <w:pStyle w:val="Standard"/>
              <w:jc w:val="both"/>
            </w:pPr>
            <w:r>
              <w:rPr>
                <w:rFonts w:ascii="標楷體" w:eastAsia="標楷體" w:hAnsi="標楷體"/>
                <w:szCs w:val="24"/>
              </w:rPr>
              <w:t>四、編列之費用，應包括薪資、退休金、保險及其他依法應給予之項目。五、不得支用於學校編制人員。</w:t>
            </w:r>
          </w:p>
          <w:p w:rsidR="00183524" w:rsidRDefault="00D32133">
            <w:pPr>
              <w:pStyle w:val="Standard"/>
              <w:ind w:left="458" w:hanging="458"/>
              <w:jc w:val="both"/>
            </w:pPr>
            <w:r>
              <w:rPr>
                <w:rFonts w:ascii="標楷體" w:eastAsia="標楷體" w:hAnsi="標楷體"/>
                <w:szCs w:val="24"/>
              </w:rPr>
              <w:t>六、應依工作內容及性質核實編列。</w:t>
            </w:r>
          </w:p>
        </w:tc>
      </w:tr>
      <w:tr w:rsidR="00183524">
        <w:tblPrEx>
          <w:tblCellMar>
            <w:top w:w="0" w:type="dxa"/>
            <w:bottom w:w="0" w:type="dxa"/>
          </w:tblCellMar>
        </w:tblPrEx>
        <w:trPr>
          <w:trHeight w:val="907"/>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印刷費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183524">
            <w:pPr>
              <w:pStyle w:val="Standard"/>
              <w:jc w:val="center"/>
              <w:rPr>
                <w:rFonts w:ascii="標楷體" w:eastAsia="標楷體" w:hAnsi="標楷體"/>
                <w:szCs w:val="24"/>
              </w:rPr>
            </w:pP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一、印刷費編列總額，以不超過經常門核定總經費百分之十為原則。</w:t>
            </w:r>
          </w:p>
          <w:p w:rsidR="00183524" w:rsidRDefault="00D32133">
            <w:pPr>
              <w:pStyle w:val="Standard"/>
              <w:ind w:left="480" w:hanging="480"/>
              <w:jc w:val="both"/>
            </w:pPr>
            <w:r>
              <w:rPr>
                <w:rFonts w:ascii="標楷體" w:eastAsia="標楷體" w:hAnsi="標楷體"/>
                <w:szCs w:val="24"/>
              </w:rPr>
              <w:t>二、不得支用於校刊編輯與印刷費、演出費及招生紀念品製作費。</w:t>
            </w:r>
          </w:p>
        </w:tc>
      </w:tr>
      <w:tr w:rsidR="00183524">
        <w:tblPrEx>
          <w:tblCellMar>
            <w:top w:w="0" w:type="dxa"/>
            <w:bottom w:w="0" w:type="dxa"/>
          </w:tblCellMar>
        </w:tblPrEx>
        <w:trPr>
          <w:trHeight w:val="794"/>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資料蒐集費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183524">
            <w:pPr>
              <w:pStyle w:val="Standard"/>
              <w:jc w:val="center"/>
              <w:rPr>
                <w:rFonts w:ascii="標楷體" w:eastAsia="標楷體" w:hAnsi="標楷體"/>
                <w:szCs w:val="24"/>
              </w:rPr>
            </w:pP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經費編列以三萬元為限。</w:t>
            </w:r>
          </w:p>
        </w:tc>
      </w:tr>
      <w:tr w:rsidR="00183524">
        <w:tblPrEx>
          <w:tblCellMar>
            <w:top w:w="0" w:type="dxa"/>
            <w:bottom w:w="0" w:type="dxa"/>
          </w:tblCellMar>
        </w:tblPrEx>
        <w:trPr>
          <w:trHeight w:val="794"/>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資料檢索費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183524">
            <w:pPr>
              <w:pStyle w:val="Standard"/>
              <w:jc w:val="center"/>
              <w:rPr>
                <w:rFonts w:ascii="標楷體" w:eastAsia="標楷體" w:hAnsi="標楷體"/>
                <w:szCs w:val="24"/>
              </w:rPr>
            </w:pP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應依需求核實編列。</w:t>
            </w:r>
          </w:p>
        </w:tc>
      </w:tr>
      <w:tr w:rsidR="00183524">
        <w:tblPrEx>
          <w:tblCellMar>
            <w:top w:w="0" w:type="dxa"/>
            <w:bottom w:w="0" w:type="dxa"/>
          </w:tblCellMar>
        </w:tblPrEx>
        <w:trPr>
          <w:trHeight w:val="1361"/>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膳宿費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183524">
            <w:pPr>
              <w:pStyle w:val="Standard"/>
              <w:jc w:val="center"/>
              <w:rPr>
                <w:rFonts w:ascii="標楷體" w:eastAsia="標楷體" w:hAnsi="標楷體"/>
                <w:szCs w:val="24"/>
              </w:rPr>
            </w:pP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ind w:left="480" w:hanging="480"/>
              <w:jc w:val="both"/>
            </w:pPr>
            <w:r>
              <w:rPr>
                <w:rFonts w:ascii="標楷體" w:eastAsia="標楷體" w:hAnsi="標楷體"/>
                <w:szCs w:val="24"/>
              </w:rPr>
              <w:t>一、依「教育部及所屬機關(構)辦理各類會議講習訓練與研討(習)會管理要點」辦理。</w:t>
            </w:r>
          </w:p>
          <w:p w:rsidR="00183524" w:rsidRDefault="00D32133">
            <w:pPr>
              <w:pStyle w:val="Standard"/>
              <w:ind w:left="480" w:hanging="480"/>
              <w:jc w:val="both"/>
            </w:pPr>
            <w:r>
              <w:rPr>
                <w:rFonts w:ascii="標楷體" w:eastAsia="標楷體" w:hAnsi="標楷體"/>
                <w:szCs w:val="24"/>
              </w:rPr>
              <w:t>二、膳費編列總額，以不超過經常門核定總經費百分之十為原則。</w:t>
            </w:r>
          </w:p>
          <w:p w:rsidR="00183524" w:rsidRDefault="00D32133">
            <w:pPr>
              <w:pStyle w:val="Standard"/>
              <w:jc w:val="both"/>
            </w:pPr>
            <w:r>
              <w:rPr>
                <w:rFonts w:ascii="標楷體" w:eastAsia="標楷體" w:hAnsi="標楷體"/>
                <w:szCs w:val="24"/>
              </w:rPr>
              <w:t>三、不補助學生參加校外活動或競賽支出。</w:t>
            </w:r>
          </w:p>
        </w:tc>
      </w:tr>
      <w:tr w:rsidR="00183524">
        <w:tblPrEx>
          <w:tblCellMar>
            <w:top w:w="0" w:type="dxa"/>
            <w:bottom w:w="0" w:type="dxa"/>
          </w:tblCellMar>
        </w:tblPrEx>
        <w:trPr>
          <w:trHeight w:val="1134"/>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保險費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183524">
            <w:pPr>
              <w:pStyle w:val="Standard"/>
              <w:jc w:val="center"/>
              <w:rPr>
                <w:rFonts w:ascii="標楷體" w:eastAsia="標楷體" w:hAnsi="標楷體"/>
                <w:szCs w:val="24"/>
              </w:rPr>
            </w:pP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tabs>
                <w:tab w:val="left" w:pos="6240"/>
              </w:tabs>
              <w:jc w:val="both"/>
            </w:pPr>
            <w:r>
              <w:rPr>
                <w:rFonts w:ascii="標楷體" w:eastAsia="標楷體" w:hAnsi="標楷體"/>
                <w:szCs w:val="24"/>
              </w:rPr>
              <w:t>各機關、學校因業務需要辦理非屬文康活動性質之各項活動，學校得在不重複保險及相關補助給予之原則下，為經核予公假之參加人員投保平安保險。</w:t>
            </w:r>
          </w:p>
        </w:tc>
      </w:tr>
      <w:tr w:rsidR="00183524">
        <w:tblPrEx>
          <w:tblCellMar>
            <w:top w:w="0" w:type="dxa"/>
            <w:bottom w:w="0" w:type="dxa"/>
          </w:tblCellMar>
        </w:tblPrEx>
        <w:trPr>
          <w:trHeight w:val="737"/>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pacing w:val="-14"/>
                <w:szCs w:val="24"/>
              </w:rPr>
              <w:t>場地使用費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183524">
            <w:pPr>
              <w:pStyle w:val="Standard"/>
              <w:jc w:val="center"/>
              <w:rPr>
                <w:rFonts w:ascii="標楷體" w:eastAsia="標楷體" w:hAnsi="標楷體"/>
                <w:szCs w:val="24"/>
              </w:rPr>
            </w:pP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pPr>
            <w:r>
              <w:rPr>
                <w:rFonts w:ascii="標楷體" w:eastAsia="標楷體" w:hAnsi="標楷體"/>
                <w:szCs w:val="24"/>
              </w:rPr>
              <w:t>依「教育部補(捐)助及委辦計畫經費編列基準表」辦理。</w:t>
            </w:r>
          </w:p>
        </w:tc>
      </w:tr>
      <w:tr w:rsidR="00183524">
        <w:tblPrEx>
          <w:tblCellMar>
            <w:top w:w="0" w:type="dxa"/>
            <w:bottom w:w="0" w:type="dxa"/>
          </w:tblCellMar>
        </w:tblPrEx>
        <w:trPr>
          <w:trHeight w:val="1417"/>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雜支</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183524">
            <w:pPr>
              <w:pStyle w:val="Standard"/>
              <w:jc w:val="center"/>
              <w:rPr>
                <w:rFonts w:ascii="標楷體" w:eastAsia="標楷體" w:hAnsi="標楷體"/>
                <w:szCs w:val="24"/>
              </w:rPr>
            </w:pP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一、編列總額，以不超過經常門核定總經費百分之二十為原則。</w:t>
            </w:r>
          </w:p>
          <w:p w:rsidR="00183524" w:rsidRDefault="00D32133">
            <w:pPr>
              <w:pStyle w:val="Standard"/>
              <w:jc w:val="both"/>
            </w:pPr>
            <w:r>
              <w:rPr>
                <w:rFonts w:ascii="標楷體" w:eastAsia="標楷體" w:hAnsi="標楷體"/>
                <w:szCs w:val="24"/>
              </w:rPr>
              <w:t>二、得編列課程相關耗材。</w:t>
            </w:r>
          </w:p>
          <w:p w:rsidR="00183524" w:rsidRDefault="00D32133">
            <w:pPr>
              <w:pStyle w:val="Standard"/>
              <w:ind w:left="480" w:hanging="480"/>
              <w:jc w:val="both"/>
            </w:pPr>
            <w:r>
              <w:rPr>
                <w:rFonts w:ascii="標楷體" w:eastAsia="標楷體" w:hAnsi="標楷體"/>
                <w:szCs w:val="24"/>
              </w:rPr>
              <w:t>三、未列其他項目之辦公事務費用，包括文具用品、紙張、資訊耗材、資料夾、郵資，均得編列。</w:t>
            </w:r>
          </w:p>
        </w:tc>
      </w:tr>
      <w:tr w:rsidR="00183524">
        <w:tblPrEx>
          <w:tblCellMar>
            <w:top w:w="0" w:type="dxa"/>
            <w:bottom w:w="0" w:type="dxa"/>
          </w:tblCellMar>
        </w:tblPrEx>
        <w:trPr>
          <w:trHeight w:val="1304"/>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pacing w:val="-14"/>
                <w:szCs w:val="24"/>
              </w:rPr>
              <w:lastRenderedPageBreak/>
              <w:t>國內旅費、短程車資、運費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center"/>
            </w:pPr>
            <w:r>
              <w:rPr>
                <w:rFonts w:ascii="標楷體" w:eastAsia="標楷體" w:hAnsi="標楷體"/>
                <w:szCs w:val="24"/>
              </w:rPr>
              <w:t>人次</w:t>
            </w: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Textbody"/>
              <w:spacing w:after="0"/>
              <w:jc w:val="both"/>
            </w:pPr>
            <w:r>
              <w:rPr>
                <w:rFonts w:ascii="標楷體" w:eastAsia="標楷體" w:hAnsi="標楷體"/>
                <w:szCs w:val="24"/>
              </w:rPr>
              <w:t>一、國內旅費之編列及支給，依「國內出差旅費報支要點」辦理。</w:t>
            </w:r>
          </w:p>
          <w:p w:rsidR="00183524" w:rsidRDefault="00D32133">
            <w:pPr>
              <w:pStyle w:val="Textbody"/>
              <w:spacing w:after="0"/>
              <w:jc w:val="both"/>
            </w:pPr>
            <w:r>
              <w:rPr>
                <w:rFonts w:ascii="標楷體" w:eastAsia="標楷體" w:hAnsi="標楷體"/>
                <w:szCs w:val="24"/>
              </w:rPr>
              <w:t>二、不得支用於校車及隨車人員交通費。</w:t>
            </w:r>
          </w:p>
          <w:p w:rsidR="00183524" w:rsidRDefault="00D32133">
            <w:pPr>
              <w:pStyle w:val="Textbody"/>
              <w:spacing w:after="0"/>
              <w:ind w:left="480" w:hanging="480"/>
              <w:jc w:val="both"/>
            </w:pPr>
            <w:r>
              <w:rPr>
                <w:rFonts w:ascii="標楷體" w:eastAsia="標楷體" w:hAnsi="標楷體"/>
                <w:szCs w:val="24"/>
              </w:rPr>
              <w:t>三、</w:t>
            </w:r>
            <w:r>
              <w:rPr>
                <w:rFonts w:ascii="標楷體" w:eastAsia="標楷體" w:hAnsi="標楷體"/>
                <w:color w:val="000000"/>
                <w:szCs w:val="24"/>
              </w:rPr>
              <w:t>學生參加新課綱跨校選修課程，得參照「國內出差旅費報支要點」核實報支交通費。</w:t>
            </w:r>
          </w:p>
        </w:tc>
      </w:tr>
      <w:tr w:rsidR="00183524">
        <w:tblPrEx>
          <w:tblCellMar>
            <w:top w:w="0" w:type="dxa"/>
            <w:bottom w:w="0" w:type="dxa"/>
          </w:tblCellMar>
        </w:tblPrEx>
        <w:trPr>
          <w:trHeight w:val="747"/>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全民健康保險補充保費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183524">
            <w:pPr>
              <w:pStyle w:val="Standard"/>
              <w:jc w:val="center"/>
              <w:rPr>
                <w:rFonts w:ascii="標楷體" w:eastAsia="標楷體" w:hAnsi="標楷體"/>
                <w:szCs w:val="24"/>
              </w:rPr>
            </w:pP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依全民健康保險補充保險費法規規定，編列費用。</w:t>
            </w:r>
          </w:p>
        </w:tc>
      </w:tr>
      <w:tr w:rsidR="00183524">
        <w:tblPrEx>
          <w:tblCellMar>
            <w:top w:w="0" w:type="dxa"/>
            <w:bottom w:w="0" w:type="dxa"/>
          </w:tblCellMar>
        </w:tblPrEx>
        <w:trPr>
          <w:trHeight w:val="1871"/>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pacing w:val="-18"/>
                <w:szCs w:val="24"/>
              </w:rPr>
              <w:t>租車費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center"/>
            </w:pPr>
            <w:r>
              <w:rPr>
                <w:rFonts w:ascii="標楷體" w:eastAsia="標楷體" w:hAnsi="標楷體"/>
                <w:szCs w:val="24"/>
              </w:rPr>
              <w:t>臺</w:t>
            </w: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一、租車費，每車每日補助最高一萬二千元。</w:t>
            </w:r>
          </w:p>
          <w:p w:rsidR="00183524" w:rsidRDefault="00D32133">
            <w:pPr>
              <w:pStyle w:val="Standard"/>
              <w:ind w:left="480" w:hanging="480"/>
              <w:jc w:val="both"/>
            </w:pPr>
            <w:r>
              <w:rPr>
                <w:rFonts w:ascii="標楷體" w:eastAsia="標楷體" w:hAnsi="標楷體"/>
                <w:szCs w:val="24"/>
              </w:rPr>
              <w:t>二、為辦理新課綱課程或與本計畫相關之交流活動所需之租車費，其交流對象及目的應明列於申請補助之計畫書中。</w:t>
            </w:r>
          </w:p>
          <w:p w:rsidR="00183524" w:rsidRDefault="00D32133">
            <w:pPr>
              <w:pStyle w:val="Standard"/>
              <w:ind w:left="480" w:hanging="480"/>
              <w:jc w:val="both"/>
            </w:pPr>
            <w:r>
              <w:rPr>
                <w:rFonts w:ascii="標楷體" w:eastAsia="標楷體" w:hAnsi="標楷體"/>
                <w:szCs w:val="24"/>
              </w:rPr>
              <w:t>三、補助教師、學生到校外進行與本計畫相關之觀摩、參訪活動，或國民中學學生到高級中等學校進行職涯試探、學術試探活動。</w:t>
            </w:r>
          </w:p>
        </w:tc>
      </w:tr>
      <w:tr w:rsidR="00183524">
        <w:tblPrEx>
          <w:tblCellMar>
            <w:top w:w="0" w:type="dxa"/>
            <w:bottom w:w="0" w:type="dxa"/>
          </w:tblCellMar>
        </w:tblPrEx>
        <w:trPr>
          <w:trHeight w:val="1020"/>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pacing w:val="-18"/>
                <w:szCs w:val="24"/>
              </w:rPr>
              <w:t>材料費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center"/>
            </w:pPr>
            <w:r>
              <w:rPr>
                <w:rFonts w:ascii="標楷體" w:eastAsia="標楷體" w:hAnsi="標楷體"/>
                <w:szCs w:val="24"/>
              </w:rPr>
              <w:t>人次</w:t>
            </w: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t>一、編列總額，以不超過經常門核定總經費百分之二十為原則</w:t>
            </w:r>
            <w:r>
              <w:rPr>
                <w:rFonts w:ascii="標楷體" w:eastAsia="標楷體" w:hAnsi="標楷體"/>
                <w:b/>
                <w:szCs w:val="24"/>
              </w:rPr>
              <w:t>。</w:t>
            </w:r>
          </w:p>
          <w:p w:rsidR="00183524" w:rsidRDefault="00D32133">
            <w:pPr>
              <w:pStyle w:val="Standard"/>
              <w:jc w:val="both"/>
            </w:pPr>
            <w:r>
              <w:rPr>
                <w:rFonts w:ascii="標楷體" w:eastAsia="標楷體" w:hAnsi="標楷體"/>
                <w:szCs w:val="24"/>
              </w:rPr>
              <w:t>二、依參與計畫之人數計算，每人每次補助二百元。</w:t>
            </w:r>
          </w:p>
        </w:tc>
      </w:tr>
      <w:tr w:rsidR="00183524">
        <w:tblPrEx>
          <w:tblCellMar>
            <w:top w:w="0" w:type="dxa"/>
            <w:bottom w:w="0" w:type="dxa"/>
          </w:tblCellMar>
        </w:tblPrEx>
        <w:trPr>
          <w:trHeight w:val="1247"/>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pacing w:val="-18"/>
                <w:szCs w:val="24"/>
              </w:rPr>
              <w:t>物品費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183524">
            <w:pPr>
              <w:pStyle w:val="Standard"/>
              <w:jc w:val="center"/>
              <w:rPr>
                <w:rFonts w:ascii="標楷體" w:eastAsia="標楷體" w:hAnsi="標楷體"/>
                <w:szCs w:val="24"/>
              </w:rPr>
            </w:pP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pacing w:val="-18"/>
                <w:szCs w:val="24"/>
              </w:rPr>
              <w:t>一、物品費</w:t>
            </w:r>
            <w:r>
              <w:rPr>
                <w:rFonts w:ascii="標楷體" w:eastAsia="標楷體" w:hAnsi="標楷體"/>
                <w:szCs w:val="24"/>
              </w:rPr>
              <w:t>總額，以不超過經常門核定總經費百分之二十為原則。</w:t>
            </w:r>
          </w:p>
          <w:p w:rsidR="00183524" w:rsidRDefault="00D32133">
            <w:pPr>
              <w:pStyle w:val="Standard"/>
              <w:jc w:val="both"/>
            </w:pPr>
            <w:r>
              <w:rPr>
                <w:rFonts w:ascii="標楷體" w:eastAsia="標楷體" w:hAnsi="標楷體"/>
                <w:szCs w:val="24"/>
              </w:rPr>
              <w:t>二、物品單價，不得逾一萬元。</w:t>
            </w:r>
          </w:p>
          <w:p w:rsidR="00183524" w:rsidRDefault="00D32133">
            <w:pPr>
              <w:pStyle w:val="Standard"/>
              <w:jc w:val="both"/>
            </w:pPr>
            <w:r>
              <w:rPr>
                <w:rFonts w:ascii="標楷體" w:eastAsia="標楷體" w:hAnsi="標楷體"/>
                <w:szCs w:val="24"/>
              </w:rPr>
              <w:t>三、以非屬學校內固定支出者為限。</w:t>
            </w:r>
          </w:p>
        </w:tc>
      </w:tr>
      <w:tr w:rsidR="00183524">
        <w:tblPrEx>
          <w:tblCellMar>
            <w:top w:w="0" w:type="dxa"/>
            <w:bottom w:w="0" w:type="dxa"/>
          </w:tblCellMar>
        </w:tblPrEx>
        <w:trPr>
          <w:trHeight w:val="1020"/>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pacing w:val="-18"/>
                <w:szCs w:val="24"/>
              </w:rPr>
              <w:t>設備維護費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183524">
            <w:pPr>
              <w:pStyle w:val="Standard"/>
              <w:jc w:val="center"/>
              <w:rPr>
                <w:rFonts w:ascii="標楷體" w:eastAsia="標楷體" w:hAnsi="標楷體"/>
                <w:szCs w:val="24"/>
              </w:rPr>
            </w:pP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pacing w:val="-18"/>
                <w:szCs w:val="24"/>
              </w:rPr>
              <w:t>一、</w:t>
            </w:r>
            <w:r>
              <w:rPr>
                <w:rFonts w:ascii="標楷體" w:eastAsia="標楷體" w:hAnsi="標楷體"/>
                <w:szCs w:val="24"/>
              </w:rPr>
              <w:t>編列總額，以不超過經常門核定總經費百分之十為原則。</w:t>
            </w:r>
          </w:p>
          <w:p w:rsidR="00183524" w:rsidRDefault="00D32133">
            <w:pPr>
              <w:pStyle w:val="Standard"/>
              <w:jc w:val="both"/>
            </w:pPr>
            <w:r>
              <w:rPr>
                <w:rFonts w:ascii="標楷體" w:eastAsia="標楷體" w:hAnsi="標楷體"/>
                <w:szCs w:val="24"/>
              </w:rPr>
              <w:t>二、以非屬學校內固定支出者為限。</w:t>
            </w:r>
          </w:p>
        </w:tc>
      </w:tr>
      <w:tr w:rsidR="00183524">
        <w:tblPrEx>
          <w:tblCellMar>
            <w:top w:w="0" w:type="dxa"/>
            <w:bottom w:w="0" w:type="dxa"/>
          </w:tblCellMar>
        </w:tblPrEx>
        <w:trPr>
          <w:trHeight w:val="1247"/>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pacing w:val="-18"/>
                <w:szCs w:val="24"/>
              </w:rPr>
              <w:t>軟體設計費、軟體授權費</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183524">
            <w:pPr>
              <w:pStyle w:val="Standard"/>
              <w:jc w:val="center"/>
              <w:rPr>
                <w:rFonts w:ascii="標楷體" w:eastAsia="標楷體" w:hAnsi="標楷體"/>
                <w:szCs w:val="24"/>
              </w:rPr>
            </w:pPr>
          </w:p>
        </w:tc>
        <w:tc>
          <w:tcPr>
            <w:tcW w:w="79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Textbody"/>
              <w:spacing w:after="0"/>
              <w:jc w:val="both"/>
            </w:pPr>
            <w:r>
              <w:rPr>
                <w:rFonts w:ascii="標楷體" w:eastAsia="標楷體" w:hAnsi="標楷體"/>
                <w:spacing w:val="-18"/>
                <w:szCs w:val="24"/>
              </w:rPr>
              <w:t>一、</w:t>
            </w:r>
            <w:r>
              <w:rPr>
                <w:rFonts w:ascii="標楷體" w:eastAsia="標楷體" w:hAnsi="標楷體"/>
                <w:szCs w:val="24"/>
              </w:rPr>
              <w:t>軟體設計、授權單價，以一萬元以下為限。</w:t>
            </w:r>
          </w:p>
          <w:p w:rsidR="00183524" w:rsidRDefault="00D32133">
            <w:pPr>
              <w:pStyle w:val="Textbody"/>
              <w:spacing w:after="0"/>
              <w:ind w:left="480" w:hanging="480"/>
              <w:jc w:val="both"/>
            </w:pPr>
            <w:r>
              <w:rPr>
                <w:rFonts w:ascii="標楷體" w:eastAsia="標楷體" w:hAnsi="標楷體"/>
                <w:szCs w:val="24"/>
              </w:rPr>
              <w:t>二、應列明購置軟體設計、授權名稱、數量及單價，勿以乙式為單位編列。</w:t>
            </w:r>
          </w:p>
        </w:tc>
      </w:tr>
      <w:tr w:rsidR="00183524">
        <w:tblPrEx>
          <w:tblCellMar>
            <w:top w:w="0" w:type="dxa"/>
            <w:bottom w:w="0" w:type="dxa"/>
          </w:tblCellMar>
        </w:tblPrEx>
        <w:trPr>
          <w:trHeight w:val="564"/>
          <w:jc w:val="center"/>
        </w:trPr>
        <w:tc>
          <w:tcPr>
            <w:tcW w:w="1005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b/>
                <w:szCs w:val="24"/>
              </w:rPr>
              <w:t>二、獎補助費</w:t>
            </w:r>
          </w:p>
        </w:tc>
      </w:tr>
      <w:tr w:rsidR="00183524">
        <w:tblPrEx>
          <w:tblCellMar>
            <w:top w:w="0" w:type="dxa"/>
            <w:bottom w:w="0" w:type="dxa"/>
          </w:tblCellMar>
        </w:tblPrEx>
        <w:trPr>
          <w:trHeight w:val="2294"/>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pacing w:val="-18"/>
                <w:szCs w:val="24"/>
              </w:rPr>
              <w:t>學生入學獎學金</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center"/>
            </w:pPr>
            <w:r>
              <w:rPr>
                <w:rFonts w:ascii="標楷體" w:eastAsia="標楷體" w:hAnsi="標楷體"/>
                <w:szCs w:val="24"/>
              </w:rPr>
              <w:t>人次</w:t>
            </w:r>
          </w:p>
        </w:tc>
        <w:tc>
          <w:tcPr>
            <w:tcW w:w="796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ind w:left="480" w:hanging="480"/>
              <w:jc w:val="both"/>
            </w:pPr>
            <w:r>
              <w:rPr>
                <w:rFonts w:ascii="標楷體" w:eastAsia="標楷體" w:hAnsi="標楷體"/>
                <w:szCs w:val="24"/>
              </w:rPr>
              <w:t>一、學生入學獎學金，為獎勵入學成績優秀之學生，學生每人以一萬元為限，且不得重複支領其他專案相同屬性之獎學金。</w:t>
            </w:r>
          </w:p>
          <w:p w:rsidR="00183524" w:rsidRDefault="00D32133">
            <w:pPr>
              <w:pStyle w:val="Standard"/>
              <w:ind w:left="480" w:hanging="480"/>
              <w:jc w:val="both"/>
            </w:pPr>
            <w:r>
              <w:rPr>
                <w:rFonts w:ascii="標楷體" w:eastAsia="標楷體" w:hAnsi="標楷體"/>
                <w:szCs w:val="24"/>
              </w:rPr>
              <w:t>二、學生獎學(助)金，為獎勵就學生在學期間之績優表現，其發放基準如下：</w:t>
            </w:r>
          </w:p>
          <w:p w:rsidR="00183524" w:rsidRDefault="00D32133">
            <w:pPr>
              <w:pStyle w:val="Standard"/>
              <w:ind w:left="958" w:hanging="510"/>
              <w:jc w:val="both"/>
            </w:pPr>
            <w:r>
              <w:rPr>
                <w:rFonts w:ascii="標楷體" w:eastAsia="標楷體" w:hAnsi="標楷體"/>
                <w:szCs w:val="24"/>
              </w:rPr>
              <w:t>(一)以各學期學業成績為發放基準者，學生每人每學期以一萬元為限。</w:t>
            </w:r>
          </w:p>
          <w:p w:rsidR="00183524" w:rsidRDefault="00D32133">
            <w:pPr>
              <w:pStyle w:val="Standard"/>
              <w:ind w:left="958" w:hanging="510"/>
              <w:jc w:val="both"/>
            </w:pPr>
            <w:r>
              <w:rPr>
                <w:rFonts w:ascii="標楷體" w:eastAsia="標楷體" w:hAnsi="標楷體"/>
                <w:szCs w:val="24"/>
              </w:rPr>
              <w:t>(二)以期中評量、證照、競賽等項目之成績為發放基準者，學生每人各單項，以五千元為限。但不得支用於學生參與研習所需。</w:t>
            </w:r>
          </w:p>
          <w:p w:rsidR="00183524" w:rsidRDefault="00D32133">
            <w:pPr>
              <w:pStyle w:val="Standard"/>
              <w:ind w:left="480" w:hanging="480"/>
              <w:jc w:val="both"/>
            </w:pPr>
            <w:r>
              <w:rPr>
                <w:rFonts w:ascii="標楷體" w:eastAsia="標楷體" w:hAnsi="標楷體"/>
                <w:szCs w:val="24"/>
              </w:rPr>
              <w:t>三、學生入學獎學金及學生獎學(助)金之總金額，以不超過經常門核定總經費百分之二十為原則。</w:t>
            </w:r>
          </w:p>
          <w:p w:rsidR="00183524" w:rsidRDefault="00D32133">
            <w:pPr>
              <w:pStyle w:val="Standard"/>
              <w:ind w:left="480" w:hanging="480"/>
              <w:jc w:val="both"/>
            </w:pPr>
            <w:r>
              <w:rPr>
                <w:rFonts w:ascii="標楷體" w:eastAsia="標楷體" w:hAnsi="標楷體"/>
                <w:szCs w:val="24"/>
              </w:rPr>
              <w:t>四、學校應於所提出之計畫書中，檢附經行政會報通過後之相關審核規定。</w:t>
            </w:r>
          </w:p>
          <w:p w:rsidR="00183524" w:rsidRDefault="00D32133">
            <w:pPr>
              <w:pStyle w:val="Standard"/>
              <w:jc w:val="both"/>
            </w:pPr>
            <w:r>
              <w:rPr>
                <w:rFonts w:ascii="標楷體" w:eastAsia="標楷體" w:hAnsi="標楷體"/>
                <w:szCs w:val="24"/>
              </w:rPr>
              <w:t>五、僅得以現金發放予學生。</w:t>
            </w:r>
          </w:p>
        </w:tc>
      </w:tr>
      <w:tr w:rsidR="00183524">
        <w:tblPrEx>
          <w:tblCellMar>
            <w:top w:w="0" w:type="dxa"/>
            <w:bottom w:w="0" w:type="dxa"/>
          </w:tblCellMar>
        </w:tblPrEx>
        <w:trPr>
          <w:trHeight w:val="2117"/>
          <w:jc w:val="center"/>
        </w:trPr>
        <w:tc>
          <w:tcPr>
            <w:tcW w:w="14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pacing w:val="-18"/>
                <w:szCs w:val="24"/>
              </w:rPr>
              <w:t>學生獎學（助）金</w:t>
            </w:r>
          </w:p>
        </w:tc>
        <w:tc>
          <w:tcPr>
            <w:tcW w:w="6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183524">
            <w:pPr>
              <w:pStyle w:val="Standard"/>
              <w:jc w:val="center"/>
              <w:rPr>
                <w:rFonts w:ascii="標楷體" w:eastAsia="標楷體" w:hAnsi="標楷體"/>
                <w:szCs w:val="24"/>
              </w:rPr>
            </w:pPr>
          </w:p>
        </w:tc>
        <w:tc>
          <w:tcPr>
            <w:tcW w:w="796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D32133" w:rsidRDefault="00D32133"/>
        </w:tc>
      </w:tr>
      <w:tr w:rsidR="00183524">
        <w:tblPrEx>
          <w:tblCellMar>
            <w:top w:w="0" w:type="dxa"/>
            <w:bottom w:w="0" w:type="dxa"/>
          </w:tblCellMar>
        </w:tblPrEx>
        <w:trPr>
          <w:trHeight w:val="683"/>
          <w:jc w:val="center"/>
        </w:trPr>
        <w:tc>
          <w:tcPr>
            <w:tcW w:w="10057" w:type="dxa"/>
            <w:gridSpan w:val="3"/>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eastAsia="標楷體"/>
                <w:b/>
                <w:bCs/>
              </w:rPr>
              <w:t>三</w:t>
            </w:r>
            <w:r>
              <w:rPr>
                <w:rFonts w:ascii="標楷體" w:eastAsia="標楷體" w:hAnsi="標楷體"/>
                <w:b/>
                <w:bCs/>
                <w:szCs w:val="24"/>
              </w:rPr>
              <w:t>、</w:t>
            </w:r>
            <w:r>
              <w:rPr>
                <w:rFonts w:ascii="標楷體" w:eastAsia="標楷體" w:hAnsi="標楷體"/>
                <w:b/>
                <w:spacing w:val="-18"/>
                <w:szCs w:val="24"/>
              </w:rPr>
              <w:t>設備及投資</w:t>
            </w:r>
          </w:p>
        </w:tc>
      </w:tr>
      <w:tr w:rsidR="00183524">
        <w:tblPrEx>
          <w:tblCellMar>
            <w:top w:w="0" w:type="dxa"/>
            <w:bottom w:w="0" w:type="dxa"/>
          </w:tblCellMar>
        </w:tblPrEx>
        <w:trPr>
          <w:trHeight w:val="2265"/>
          <w:jc w:val="center"/>
        </w:trPr>
        <w:tc>
          <w:tcPr>
            <w:tcW w:w="1438"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jc w:val="both"/>
            </w:pPr>
            <w:r>
              <w:rPr>
                <w:rFonts w:ascii="標楷體" w:eastAsia="標楷體" w:hAnsi="標楷體"/>
                <w:szCs w:val="24"/>
              </w:rPr>
              <w:lastRenderedPageBreak/>
              <w:t>設備費</w:t>
            </w:r>
          </w:p>
        </w:tc>
        <w:tc>
          <w:tcPr>
            <w:tcW w:w="659"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183524">
            <w:pPr>
              <w:pStyle w:val="Standard"/>
              <w:jc w:val="center"/>
              <w:rPr>
                <w:rFonts w:ascii="標楷體" w:eastAsia="標楷體" w:hAnsi="標楷體"/>
                <w:szCs w:val="24"/>
              </w:rPr>
            </w:pPr>
          </w:p>
        </w:tc>
        <w:tc>
          <w:tcPr>
            <w:tcW w:w="7960" w:type="dxa"/>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Textbody"/>
              <w:spacing w:after="0"/>
              <w:ind w:left="480" w:hanging="480"/>
              <w:jc w:val="both"/>
            </w:pPr>
            <w:r>
              <w:rPr>
                <w:rFonts w:ascii="標楷體" w:eastAsia="標楷體" w:hAnsi="標楷體"/>
                <w:szCs w:val="24"/>
              </w:rPr>
              <w:t>一、資本門經費，以不超過核定總經費二分之一為原則。</w:t>
            </w:r>
          </w:p>
          <w:p w:rsidR="00183524" w:rsidRDefault="00D32133">
            <w:pPr>
              <w:pStyle w:val="Textbody"/>
              <w:spacing w:after="0"/>
              <w:ind w:left="480" w:hanging="480"/>
              <w:jc w:val="both"/>
            </w:pPr>
            <w:r>
              <w:rPr>
                <w:rFonts w:ascii="標楷體" w:eastAsia="標楷體" w:hAnsi="標楷體"/>
                <w:szCs w:val="24"/>
              </w:rPr>
              <w:t>二、包括縮減區域教學資源落差之視聽、資訊、資料庫、教學相關設備(包括圖儀設備)。</w:t>
            </w:r>
          </w:p>
          <w:p w:rsidR="00183524" w:rsidRDefault="00D32133">
            <w:pPr>
              <w:pStyle w:val="Textbody"/>
              <w:spacing w:after="0"/>
              <w:ind w:left="480" w:hanging="480"/>
              <w:jc w:val="both"/>
            </w:pPr>
            <w:r>
              <w:rPr>
                <w:rFonts w:ascii="標楷體" w:eastAsia="標楷體" w:hAnsi="標楷體"/>
                <w:szCs w:val="24"/>
              </w:rPr>
              <w:t>三、大量購置課程所需之圖書或DVD；其DVD應納入圖書館藏。</w:t>
            </w:r>
          </w:p>
          <w:p w:rsidR="00183524" w:rsidRDefault="00D32133">
            <w:pPr>
              <w:pStyle w:val="Textbody"/>
              <w:spacing w:after="0"/>
              <w:ind w:left="480" w:hanging="480"/>
              <w:jc w:val="both"/>
            </w:pPr>
            <w:r>
              <w:rPr>
                <w:rFonts w:ascii="標楷體" w:eastAsia="標楷體" w:hAnsi="標楷體"/>
                <w:szCs w:val="24"/>
              </w:rPr>
              <w:t>四、一般性經常設備(冷氣、教室電扇、燈具、窗簾、課桌椅等)、環境空間之修繕、維護管理，與計畫無關或難以評估有關，或難以評估成效者，不得列入本項補助經費。</w:t>
            </w:r>
          </w:p>
          <w:p w:rsidR="00183524" w:rsidRDefault="00D32133">
            <w:pPr>
              <w:pStyle w:val="Textbody"/>
              <w:spacing w:after="0"/>
              <w:ind w:left="480" w:hanging="480"/>
              <w:jc w:val="both"/>
            </w:pPr>
            <w:r>
              <w:rPr>
                <w:rFonts w:ascii="標楷體" w:eastAsia="標楷體" w:hAnsi="標楷體"/>
                <w:szCs w:val="24"/>
              </w:rPr>
              <w:t>五、學校應考量現有設備狀況，避免重複購置。</w:t>
            </w:r>
          </w:p>
          <w:p w:rsidR="00183524" w:rsidRDefault="00D32133">
            <w:pPr>
              <w:pStyle w:val="Textbody"/>
              <w:spacing w:after="0"/>
              <w:ind w:left="480" w:hanging="480"/>
              <w:jc w:val="both"/>
            </w:pPr>
            <w:r>
              <w:rPr>
                <w:rFonts w:ascii="標楷體" w:eastAsia="標楷體" w:hAnsi="標楷體"/>
                <w:szCs w:val="24"/>
              </w:rPr>
              <w:t>六、應列明購置設備名稱、數量及單價，勿以乙式為單位編列。</w:t>
            </w:r>
          </w:p>
          <w:p w:rsidR="00183524" w:rsidRDefault="00D32133">
            <w:pPr>
              <w:pStyle w:val="Textbody"/>
              <w:spacing w:after="0"/>
              <w:jc w:val="both"/>
            </w:pPr>
            <w:r>
              <w:rPr>
                <w:rFonts w:ascii="標楷體" w:eastAsia="標楷體" w:hAnsi="標楷體"/>
                <w:szCs w:val="24"/>
              </w:rPr>
              <w:t>七、設備，以耐用年限二年且金額一萬元以上者為限。</w:t>
            </w:r>
          </w:p>
          <w:p w:rsidR="00183524" w:rsidRDefault="00D32133">
            <w:pPr>
              <w:pStyle w:val="Textbody"/>
              <w:spacing w:after="0"/>
              <w:ind w:left="480" w:hanging="480"/>
              <w:jc w:val="both"/>
            </w:pPr>
            <w:r>
              <w:rPr>
                <w:rFonts w:ascii="標楷體" w:eastAsia="標楷體" w:hAnsi="標楷體"/>
                <w:szCs w:val="24"/>
              </w:rPr>
              <w:t>八、購置之設備，應加貼學校財產標籤，及註明「教育部國民及學前教育署○○年度高職優質化輔助方案購置」字樣，並納入學校財產管理。</w:t>
            </w:r>
          </w:p>
        </w:tc>
      </w:tr>
      <w:tr w:rsidR="00183524">
        <w:tblPrEx>
          <w:tblCellMar>
            <w:top w:w="0" w:type="dxa"/>
            <w:bottom w:w="0" w:type="dxa"/>
          </w:tblCellMar>
        </w:tblPrEx>
        <w:trPr>
          <w:trHeight w:val="692"/>
          <w:jc w:val="center"/>
        </w:trPr>
        <w:tc>
          <w:tcPr>
            <w:tcW w:w="10057" w:type="dxa"/>
            <w:gridSpan w:val="3"/>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Textbody"/>
              <w:spacing w:after="0"/>
            </w:pPr>
            <w:r>
              <w:rPr>
                <w:rFonts w:ascii="標楷體" w:eastAsia="標楷體" w:hAnsi="標楷體"/>
                <w:b/>
                <w:szCs w:val="24"/>
              </w:rPr>
              <w:t>四、其他注意事項</w:t>
            </w:r>
          </w:p>
        </w:tc>
      </w:tr>
      <w:tr w:rsidR="00183524">
        <w:tblPrEx>
          <w:tblCellMar>
            <w:top w:w="0" w:type="dxa"/>
            <w:bottom w:w="0" w:type="dxa"/>
          </w:tblCellMar>
        </w:tblPrEx>
        <w:trPr>
          <w:trHeight w:val="4285"/>
          <w:jc w:val="center"/>
        </w:trPr>
        <w:tc>
          <w:tcPr>
            <w:tcW w:w="10057" w:type="dxa"/>
            <w:gridSpan w:val="3"/>
            <w:tcBorders>
              <w:left w:val="single" w:sz="4" w:space="0" w:color="00000A"/>
              <w:bottom w:val="single" w:sz="4" w:space="0" w:color="00000A"/>
              <w:right w:val="single" w:sz="4" w:space="0" w:color="00000A"/>
            </w:tcBorders>
            <w:tcMar>
              <w:top w:w="0" w:type="dxa"/>
              <w:left w:w="113" w:type="dxa"/>
              <w:bottom w:w="0" w:type="dxa"/>
              <w:right w:w="108" w:type="dxa"/>
            </w:tcMar>
            <w:vAlign w:val="center"/>
          </w:tcPr>
          <w:p w:rsidR="00183524" w:rsidRDefault="00D32133">
            <w:pPr>
              <w:pStyle w:val="Standard"/>
              <w:widowControl/>
              <w:snapToGrid w:val="0"/>
              <w:spacing w:line="320" w:lineRule="exact"/>
              <w:jc w:val="both"/>
            </w:pPr>
            <w:r>
              <w:rPr>
                <w:rFonts w:ascii="標楷體" w:eastAsia="標楷體" w:hAnsi="標楷體"/>
                <w:kern w:val="0"/>
                <w:szCs w:val="24"/>
              </w:rPr>
              <w:t>一、學校(區域)之例行性活動，不予補助。</w:t>
            </w:r>
          </w:p>
          <w:p w:rsidR="00183524" w:rsidRDefault="00D32133">
            <w:pPr>
              <w:pStyle w:val="Standard"/>
              <w:widowControl/>
              <w:snapToGrid w:val="0"/>
              <w:spacing w:line="320" w:lineRule="exact"/>
              <w:ind w:left="480" w:hanging="480"/>
              <w:jc w:val="both"/>
            </w:pPr>
            <w:r>
              <w:rPr>
                <w:rFonts w:ascii="標楷體" w:eastAsia="標楷體" w:hAnsi="標楷體"/>
                <w:kern w:val="0"/>
                <w:szCs w:val="24"/>
              </w:rPr>
              <w:t>二、屬學生個人參訪、競賽、研習營及其他校外學習活動者，門票、膳宿費及交通費，不予補助。</w:t>
            </w:r>
          </w:p>
          <w:p w:rsidR="00183524" w:rsidRDefault="00D32133">
            <w:pPr>
              <w:pStyle w:val="Standard"/>
              <w:widowControl/>
              <w:snapToGrid w:val="0"/>
              <w:spacing w:line="320" w:lineRule="exact"/>
              <w:ind w:left="480" w:hanging="480"/>
              <w:jc w:val="both"/>
            </w:pPr>
            <w:r>
              <w:rPr>
                <w:rFonts w:ascii="標楷體" w:eastAsia="標楷體" w:hAnsi="標楷體"/>
                <w:kern w:val="0"/>
                <w:szCs w:val="24"/>
              </w:rPr>
              <w:t>三、經費編列，應以最低經費發揮最大計畫效益、受益人數最大化及設備教學效益最佳化為原則。</w:t>
            </w:r>
          </w:p>
          <w:p w:rsidR="00183524" w:rsidRDefault="00D32133">
            <w:pPr>
              <w:pStyle w:val="Standard"/>
              <w:widowControl/>
              <w:snapToGrid w:val="0"/>
              <w:spacing w:line="320" w:lineRule="exact"/>
              <w:jc w:val="both"/>
            </w:pPr>
            <w:r>
              <w:rPr>
                <w:rFonts w:ascii="標楷體" w:eastAsia="標楷體" w:hAnsi="標楷體"/>
                <w:kern w:val="0"/>
                <w:szCs w:val="24"/>
              </w:rPr>
              <w:t>四、補助經費所購置之補充教材，不得作為教科書使用。</w:t>
            </w:r>
          </w:p>
          <w:p w:rsidR="00183524" w:rsidRDefault="00D32133">
            <w:pPr>
              <w:pStyle w:val="Standard"/>
              <w:widowControl/>
              <w:snapToGrid w:val="0"/>
              <w:spacing w:line="320" w:lineRule="exact"/>
              <w:jc w:val="both"/>
            </w:pPr>
            <w:r>
              <w:rPr>
                <w:rFonts w:ascii="標楷體" w:eastAsia="標楷體" w:hAnsi="標楷體"/>
                <w:kern w:val="0"/>
                <w:szCs w:val="24"/>
              </w:rPr>
              <w:t>五、學校購置設備，以符合下列規定為原則：</w:t>
            </w:r>
          </w:p>
          <w:p w:rsidR="00183524" w:rsidRDefault="00D32133">
            <w:pPr>
              <w:pStyle w:val="Standard"/>
              <w:ind w:left="1185" w:hanging="737"/>
              <w:jc w:val="both"/>
            </w:pPr>
            <w:r>
              <w:rPr>
                <w:rFonts w:ascii="標楷體" w:eastAsia="標楷體" w:hAnsi="標楷體"/>
                <w:kern w:val="0"/>
                <w:szCs w:val="24"/>
              </w:rPr>
              <w:t>（一）</w:t>
            </w:r>
            <w:r>
              <w:rPr>
                <w:rFonts w:ascii="標楷體" w:eastAsia="標楷體" w:hAnsi="標楷體"/>
                <w:szCs w:val="24"/>
              </w:rPr>
              <w:t>個人電腦</w:t>
            </w:r>
            <w:r>
              <w:rPr>
                <w:rFonts w:ascii="標楷體" w:eastAsia="標楷體" w:hAnsi="標楷體"/>
                <w:kern w:val="0"/>
                <w:szCs w:val="24"/>
              </w:rPr>
              <w:t>(含顯示器)：每組不超過三萬元；不含顯示器，每組不超過二萬五千元。</w:t>
            </w:r>
          </w:p>
          <w:p w:rsidR="00183524" w:rsidRDefault="00D32133">
            <w:pPr>
              <w:pStyle w:val="Standard"/>
              <w:ind w:left="1185" w:hanging="737"/>
              <w:jc w:val="both"/>
            </w:pPr>
            <w:r>
              <w:rPr>
                <w:rFonts w:ascii="標楷體" w:eastAsia="標楷體" w:hAnsi="標楷體"/>
                <w:kern w:val="0"/>
                <w:szCs w:val="24"/>
              </w:rPr>
              <w:t>（二）</w:t>
            </w:r>
            <w:r>
              <w:rPr>
                <w:rFonts w:ascii="標楷體" w:eastAsia="標楷體" w:hAnsi="標楷體"/>
                <w:szCs w:val="24"/>
              </w:rPr>
              <w:t>筆記型電腦</w:t>
            </w:r>
            <w:r>
              <w:rPr>
                <w:rFonts w:ascii="標楷體" w:eastAsia="標楷體" w:hAnsi="標楷體"/>
                <w:kern w:val="0"/>
                <w:szCs w:val="24"/>
              </w:rPr>
              <w:t>：每臺不超過三萬元。</w:t>
            </w:r>
          </w:p>
          <w:p w:rsidR="00183524" w:rsidRDefault="00D32133">
            <w:pPr>
              <w:pStyle w:val="Standard"/>
              <w:ind w:left="1185" w:hanging="737"/>
              <w:jc w:val="both"/>
            </w:pPr>
            <w:r>
              <w:rPr>
                <w:rFonts w:ascii="標楷體" w:eastAsia="標楷體" w:hAnsi="標楷體"/>
                <w:kern w:val="0"/>
                <w:szCs w:val="24"/>
              </w:rPr>
              <w:t>（三）</w:t>
            </w:r>
            <w:r>
              <w:rPr>
                <w:rFonts w:ascii="標楷體" w:eastAsia="標楷體" w:hAnsi="標楷體"/>
                <w:szCs w:val="24"/>
              </w:rPr>
              <w:t>平板</w:t>
            </w:r>
            <w:r>
              <w:rPr>
                <w:rFonts w:ascii="標楷體" w:eastAsia="標楷體" w:hAnsi="標楷體"/>
                <w:kern w:val="0"/>
                <w:szCs w:val="24"/>
              </w:rPr>
              <w:t>電腦：每臺不超過一萬五千元。</w:t>
            </w:r>
          </w:p>
          <w:p w:rsidR="00183524" w:rsidRDefault="00D32133">
            <w:pPr>
              <w:pStyle w:val="Standard"/>
              <w:ind w:left="1185" w:hanging="737"/>
              <w:jc w:val="both"/>
            </w:pPr>
            <w:r>
              <w:rPr>
                <w:rFonts w:ascii="標楷體" w:eastAsia="標楷體" w:hAnsi="標楷體"/>
                <w:kern w:val="0"/>
                <w:szCs w:val="24"/>
              </w:rPr>
              <w:t>（四）</w:t>
            </w:r>
            <w:r>
              <w:rPr>
                <w:rFonts w:ascii="標楷體" w:eastAsia="標楷體" w:hAnsi="標楷體"/>
                <w:szCs w:val="24"/>
              </w:rPr>
              <w:t>數位相機</w:t>
            </w:r>
            <w:r>
              <w:rPr>
                <w:rFonts w:ascii="標楷體" w:eastAsia="標楷體" w:hAnsi="標楷體"/>
                <w:kern w:val="0"/>
                <w:szCs w:val="24"/>
              </w:rPr>
              <w:t>：每臺不超過一萬元。</w:t>
            </w:r>
          </w:p>
          <w:p w:rsidR="00183524" w:rsidRDefault="00D32133">
            <w:pPr>
              <w:pStyle w:val="Standard"/>
              <w:ind w:left="1185" w:hanging="737"/>
              <w:jc w:val="both"/>
            </w:pPr>
            <w:r>
              <w:rPr>
                <w:rFonts w:ascii="標楷體" w:eastAsia="標楷體" w:hAnsi="標楷體"/>
                <w:kern w:val="0"/>
                <w:szCs w:val="24"/>
              </w:rPr>
              <w:t>（五）</w:t>
            </w:r>
            <w:r>
              <w:rPr>
                <w:rFonts w:ascii="標楷體" w:eastAsia="標楷體" w:hAnsi="標楷體"/>
                <w:szCs w:val="24"/>
              </w:rPr>
              <w:t>雷射印表機</w:t>
            </w:r>
            <w:r>
              <w:rPr>
                <w:rFonts w:ascii="標楷體" w:eastAsia="標楷體" w:hAnsi="標楷體"/>
                <w:kern w:val="0"/>
                <w:szCs w:val="24"/>
              </w:rPr>
              <w:t>：每臺不超過二萬元。</w:t>
            </w:r>
          </w:p>
          <w:p w:rsidR="00183524" w:rsidRDefault="00D32133">
            <w:pPr>
              <w:pStyle w:val="Standard"/>
              <w:jc w:val="both"/>
              <w:rPr>
                <w:rFonts w:ascii="標楷體" w:eastAsia="標楷體" w:hAnsi="標楷體"/>
              </w:rPr>
            </w:pPr>
            <w:r>
              <w:rPr>
                <w:rFonts w:ascii="標楷體" w:eastAsia="標楷體" w:hAnsi="標楷體"/>
              </w:rPr>
              <w:t>六、不補助與課程發展、教學無關之教師校外觀摩參訪活動。</w:t>
            </w:r>
          </w:p>
        </w:tc>
      </w:tr>
    </w:tbl>
    <w:p w:rsidR="00183524" w:rsidRDefault="00183524">
      <w:pPr>
        <w:pStyle w:val="Textbody"/>
      </w:pPr>
    </w:p>
    <w:p w:rsidR="00183524" w:rsidRDefault="00183524">
      <w:pPr>
        <w:pStyle w:val="Standard"/>
        <w:widowControl/>
        <w:rPr>
          <w:rFonts w:ascii="標楷體" w:eastAsia="標楷體" w:hAnsi="標楷體"/>
        </w:rPr>
      </w:pPr>
    </w:p>
    <w:sectPr w:rsidR="00183524">
      <w:footerReference w:type="default" r:id="rId8"/>
      <w:pgSz w:w="11906" w:h="16838"/>
      <w:pgMar w:top="850" w:right="1134" w:bottom="1021" w:left="1134"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3B" w:rsidRDefault="007C243B">
      <w:r>
        <w:separator/>
      </w:r>
    </w:p>
  </w:endnote>
  <w:endnote w:type="continuationSeparator" w:id="0">
    <w:p w:rsidR="007C243B" w:rsidRDefault="007C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33" w:rsidRDefault="00D32133">
    <w:pPr>
      <w:pStyle w:val="a7"/>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E53318">
      <w:rPr>
        <w:rFonts w:ascii="Times New Roman" w:hAnsi="Times New Roman"/>
        <w:noProof/>
        <w:lang w:val="zh-TW"/>
      </w:rPr>
      <w:t>2</w:t>
    </w:r>
    <w:r>
      <w:rPr>
        <w:rFonts w:ascii="Times New Roman" w:hAnsi="Times New Roman"/>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3B" w:rsidRDefault="007C243B">
      <w:r>
        <w:rPr>
          <w:color w:val="000000"/>
        </w:rPr>
        <w:separator/>
      </w:r>
    </w:p>
  </w:footnote>
  <w:footnote w:type="continuationSeparator" w:id="0">
    <w:p w:rsidR="007C243B" w:rsidRDefault="007C2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7571"/>
    <w:multiLevelType w:val="multilevel"/>
    <w:tmpl w:val="A8D6A2CA"/>
    <w:styleLink w:val="WWNum12"/>
    <w:lvl w:ilvl="0">
      <w:start w:val="1"/>
      <w:numFmt w:val="japaneseCounting"/>
      <w:lvlText w:val="%1、"/>
      <w:lvlJc w:val="left"/>
      <w:rPr>
        <w:rFonts w:ascii="標楷體" w:hAnsi="標楷體"/>
        <w:color w:val="00000A"/>
      </w:rPr>
    </w:lvl>
    <w:lvl w:ilvl="1">
      <w:start w:val="1"/>
      <w:numFmt w:val="japaneseCounting"/>
      <w:lvlText w:val="（%2）"/>
      <w:lvlJc w:val="left"/>
      <w:rPr>
        <w:rFonts w:cs="Times New Roman"/>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1661E3F"/>
    <w:multiLevelType w:val="multilevel"/>
    <w:tmpl w:val="3B020746"/>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34723E1"/>
    <w:multiLevelType w:val="multilevel"/>
    <w:tmpl w:val="48DA50FE"/>
    <w:styleLink w:val="WWNum6"/>
    <w:lvl w:ilvl="0">
      <w:start w:val="1"/>
      <w:numFmt w:val="decimal"/>
      <w:lvlText w:val="%1、"/>
      <w:lvlJc w:val="left"/>
      <w:rPr>
        <w:rFonts w:ascii="標楷體" w:eastAsia="標楷體" w:hAnsi="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4F215C1"/>
    <w:multiLevelType w:val="multilevel"/>
    <w:tmpl w:val="98ACA946"/>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F1B5649"/>
    <w:multiLevelType w:val="multilevel"/>
    <w:tmpl w:val="0D6AF1C6"/>
    <w:styleLink w:val="WW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83B7750"/>
    <w:multiLevelType w:val="multilevel"/>
    <w:tmpl w:val="FDF43EFA"/>
    <w:styleLink w:val="WW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3F490B43"/>
    <w:multiLevelType w:val="multilevel"/>
    <w:tmpl w:val="880A5798"/>
    <w:lvl w:ilvl="0">
      <w:start w:val="1"/>
      <w:numFmt w:val="japaneseCounting"/>
      <w:lvlText w:val="%1、"/>
      <w:lvlJc w:val="left"/>
      <w:rPr>
        <w:rFonts w:ascii="標楷體" w:eastAsia="標楷體" w:hAnsi="標楷體"/>
        <w:strike w:val="0"/>
        <w:dstrike w:val="0"/>
        <w:color w:val="00000A"/>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444E1545"/>
    <w:multiLevelType w:val="multilevel"/>
    <w:tmpl w:val="4050ACBA"/>
    <w:styleLink w:val="WWNum13"/>
    <w:lvl w:ilvl="0">
      <w:start w:val="1"/>
      <w:numFmt w:val="decimal"/>
      <w:lvlText w:val="%1、"/>
      <w:lvlJc w:val="left"/>
      <w:rPr>
        <w:rFonts w:ascii="標楷體" w:eastAsia="標楷體" w:hAnsi="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4F2A32A1"/>
    <w:multiLevelType w:val="multilevel"/>
    <w:tmpl w:val="2F54F902"/>
    <w:styleLink w:val="WW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500523C8"/>
    <w:multiLevelType w:val="multilevel"/>
    <w:tmpl w:val="DFA8F170"/>
    <w:styleLink w:val="WWNum1"/>
    <w:lvl w:ilvl="0">
      <w:start w:val="1"/>
      <w:numFmt w:val="japaneseCounting"/>
      <w:lvlText w:val="%1、"/>
      <w:lvlJc w:val="left"/>
      <w:rPr>
        <w:strike w:val="0"/>
        <w:dstrike w:val="0"/>
        <w:color w:val="00000A"/>
        <w:lang w:val="en-US"/>
      </w:rPr>
    </w:lvl>
    <w:lvl w:ilvl="1">
      <w:start w:val="1"/>
      <w:numFmt w:val="decimal"/>
      <w:lvlText w:val="%2."/>
      <w:lvlJc w:val="left"/>
    </w:lvl>
    <w:lvl w:ilvl="2">
      <w:start w:val="1"/>
      <w:numFmt w:val="lowerRoman"/>
      <w:lvlText w:val="%3."/>
      <w:lvlJc w:val="right"/>
    </w:lvl>
    <w:lvl w:ilvl="3">
      <w:start w:val="1"/>
      <w:numFmt w:val="japaneseCounting"/>
      <w:lvlText w:val="%4、"/>
      <w:lvlJc w:val="left"/>
      <w:rPr>
        <w:rFonts w:ascii="標楷體" w:hAnsi="標楷體"/>
        <w:strike w:val="0"/>
        <w:dstrike w:val="0"/>
        <w:color w:val="00000A"/>
      </w:rPr>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61315D7F"/>
    <w:multiLevelType w:val="multilevel"/>
    <w:tmpl w:val="44F60DA6"/>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6371218C"/>
    <w:multiLevelType w:val="multilevel"/>
    <w:tmpl w:val="73005422"/>
    <w:styleLink w:val="WWNum4"/>
    <w:lvl w:ilvl="0">
      <w:start w:val="1"/>
      <w:numFmt w:val="decimal"/>
      <w:lvlText w:val="%1、"/>
      <w:lvlJc w:val="left"/>
      <w:rPr>
        <w:rFonts w:ascii="標楷體" w:eastAsia="標楷體" w:hAnsi="標楷體" w:cs="Times New Roman"/>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6FEB46F8"/>
    <w:multiLevelType w:val="multilevel"/>
    <w:tmpl w:val="CD8E6556"/>
    <w:styleLink w:val="WWNum2"/>
    <w:lvl w:ilvl="0">
      <w:start w:val="1"/>
      <w:numFmt w:val="japaneseCounting"/>
      <w:lvlText w:val="%1、"/>
      <w:lvlJc w:val="left"/>
      <w:rPr>
        <w:rFonts w:ascii="標楷體" w:hAnsi="標楷體"/>
        <w:strike w:val="0"/>
        <w:dstrike w:val="0"/>
        <w:color w:val="00000A"/>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72B153F4"/>
    <w:multiLevelType w:val="multilevel"/>
    <w:tmpl w:val="103E7F72"/>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75301072"/>
    <w:multiLevelType w:val="multilevel"/>
    <w:tmpl w:val="159C704E"/>
    <w:styleLink w:val="WWNum3"/>
    <w:lvl w:ilvl="0">
      <w:start w:val="1"/>
      <w:numFmt w:val="japaneseCounting"/>
      <w:lvlText w:val="(%1)"/>
      <w:lvlJc w:val="left"/>
    </w:lvl>
    <w:lvl w:ilvl="1">
      <w:start w:val="1"/>
      <w:numFmt w:val="decimal"/>
      <w:lvlText w:val="%2."/>
      <w:lvlJc w:val="left"/>
      <w:rPr>
        <w:color w:val="FF0000"/>
      </w:rPr>
    </w:lvl>
    <w:lvl w:ilvl="2">
      <w:start w:val="1"/>
      <w:numFmt w:val="japaneseCounting"/>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7B7C2054"/>
    <w:multiLevelType w:val="multilevel"/>
    <w:tmpl w:val="CD26D5AC"/>
    <w:styleLink w:val="WWNum14"/>
    <w:lvl w:ilvl="0">
      <w:start w:val="1"/>
      <w:numFmt w:val="japaneseCounting"/>
      <w:lvlText w:val="%1、"/>
      <w:lvlJc w:val="left"/>
      <w:rPr>
        <w:rFonts w:ascii="標楷體" w:hAnsi="標楷體"/>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3"/>
  </w:num>
  <w:num w:numId="2">
    <w:abstractNumId w:val="9"/>
  </w:num>
  <w:num w:numId="3">
    <w:abstractNumId w:val="12"/>
  </w:num>
  <w:num w:numId="4">
    <w:abstractNumId w:val="14"/>
  </w:num>
  <w:num w:numId="5">
    <w:abstractNumId w:val="11"/>
  </w:num>
  <w:num w:numId="6">
    <w:abstractNumId w:val="1"/>
  </w:num>
  <w:num w:numId="7">
    <w:abstractNumId w:val="2"/>
  </w:num>
  <w:num w:numId="8">
    <w:abstractNumId w:val="8"/>
  </w:num>
  <w:num w:numId="9">
    <w:abstractNumId w:val="3"/>
  </w:num>
  <w:num w:numId="10">
    <w:abstractNumId w:val="5"/>
  </w:num>
  <w:num w:numId="11">
    <w:abstractNumId w:val="4"/>
  </w:num>
  <w:num w:numId="12">
    <w:abstractNumId w:val="10"/>
  </w:num>
  <w:num w:numId="13">
    <w:abstractNumId w:val="0"/>
  </w:num>
  <w:num w:numId="14">
    <w:abstractNumId w:val="7"/>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83524"/>
    <w:rsid w:val="00116AF5"/>
    <w:rsid w:val="00183524"/>
    <w:rsid w:val="003B7D23"/>
    <w:rsid w:val="00652384"/>
    <w:rsid w:val="007C243B"/>
    <w:rsid w:val="00D32133"/>
    <w:rsid w:val="00E53318"/>
    <w:rsid w:val="00EF74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pPr>
      <w:keepNext/>
      <w:keepLines/>
      <w:widowControl/>
      <w:spacing w:after="1"/>
      <w:ind w:left="2603" w:hanging="2536"/>
      <w:outlineLvl w:val="0"/>
    </w:pPr>
    <w:rPr>
      <w:rFonts w:ascii="標楷體" w:eastAsia="標楷體" w:hAnsi="標楷體" w:cs="標楷體"/>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eastAsia="Calibri Light" w:hAnsi="Calibri Light" w:cs="Calibri Light"/>
      <w:sz w:val="18"/>
      <w:szCs w:val="18"/>
    </w:rPr>
  </w:style>
  <w:style w:type="paragraph" w:styleId="a9">
    <w:name w:val="annotation text"/>
    <w:basedOn w:val="Standard"/>
  </w:style>
  <w:style w:type="paragraph" w:styleId="aa">
    <w:name w:val="annotation subject"/>
    <w:basedOn w:val="a9"/>
    <w:rPr>
      <w:b/>
      <w:bCs/>
    </w:rPr>
  </w:style>
  <w:style w:type="paragraph" w:customStyle="1" w:styleId="Textbodyindent">
    <w:name w:val="Text body indent"/>
    <w:basedOn w:val="Standard"/>
    <w:pPr>
      <w:snapToGrid w:val="0"/>
      <w:spacing w:line="700" w:lineRule="exact"/>
      <w:ind w:left="600" w:hanging="600"/>
    </w:pPr>
    <w:rPr>
      <w:rFonts w:ascii="標楷體" w:eastAsia="標楷體" w:hAnsi="標楷體" w:cs="標楷體"/>
      <w:color w:val="000000"/>
      <w:sz w:val="28"/>
      <w:szCs w:val="20"/>
    </w:rPr>
  </w:style>
  <w:style w:type="paragraph" w:styleId="3">
    <w:name w:val="Body Text Indent 3"/>
    <w:basedOn w:val="Standard"/>
    <w:pPr>
      <w:spacing w:before="280" w:after="280" w:line="280" w:lineRule="exact"/>
      <w:ind w:left="480" w:hanging="480"/>
    </w:pPr>
    <w:rPr>
      <w:rFonts w:ascii="標楷體" w:eastAsia="標楷體" w:hAnsi="標楷體" w:cs="標楷體"/>
      <w:szCs w:val="20"/>
    </w:rPr>
  </w:style>
  <w:style w:type="paragraph" w:customStyle="1" w:styleId="0221">
    <w:name w:val="0221"/>
    <w:basedOn w:val="Standard"/>
    <w:pPr>
      <w:widowControl/>
      <w:spacing w:before="280" w:after="280"/>
    </w:pPr>
    <w:rPr>
      <w:rFonts w:ascii="新細明體" w:hAnsi="新細明體" w:cs="新細明體"/>
      <w:kern w:val="0"/>
      <w:szCs w:val="24"/>
    </w:rPr>
  </w:style>
  <w:style w:type="paragraph" w:styleId="ab">
    <w:name w:val="Date"/>
    <w:basedOn w:val="Standard"/>
    <w:pPr>
      <w:jc w:val="right"/>
    </w:pPr>
  </w:style>
  <w:style w:type="paragraph" w:customStyle="1" w:styleId="Standarduser">
    <w:name w:val="Standard (user)"/>
    <w:pPr>
      <w:suppressAutoHyphens/>
    </w:pPr>
    <w:rPr>
      <w:rFonts w:ascii="標楷體" w:eastAsia="標楷體" w:hAnsi="標楷體" w:cs="標楷體"/>
    </w:rPr>
  </w:style>
  <w:style w:type="paragraph" w:customStyle="1" w:styleId="021">
    <w:name w:val="021"/>
    <w:basedOn w:val="Standard"/>
    <w:pPr>
      <w:widowControl/>
      <w:spacing w:before="280" w:after="280"/>
    </w:pPr>
    <w:rPr>
      <w:rFonts w:ascii="新細明體" w:hAnsi="新細明體" w:cs="新細明體"/>
      <w:kern w:val="0"/>
      <w:szCs w:val="24"/>
    </w:rPr>
  </w:style>
  <w:style w:type="paragraph" w:styleId="ac">
    <w:name w:val="endnote text"/>
    <w:basedOn w:val="Standard"/>
    <w:rPr>
      <w:rFonts w:ascii="細明體" w:eastAsia="細明體" w:hAnsi="細明體" w:cs="細明體"/>
      <w:kern w:val="0"/>
      <w:szCs w:val="20"/>
    </w:rPr>
  </w:style>
  <w:style w:type="paragraph" w:styleId="ad">
    <w:name w:val="No Spacing"/>
    <w:pPr>
      <w:suppressAutoHyphens/>
    </w:pPr>
    <w:rPr>
      <w:rFonts w:ascii="Times New Roman" w:eastAsia="Times New Roman" w:hAnsi="Times New Roman"/>
      <w:szCs w:val="24"/>
    </w:rPr>
  </w:style>
  <w:style w:type="paragraph" w:styleId="Web">
    <w:name w:val="Normal (Web)"/>
    <w:basedOn w:val="Standard"/>
    <w:rPr>
      <w:rFonts w:ascii="Times New Roman" w:eastAsia="Times New Roman" w:hAnsi="Times New Roman"/>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styleId="ae">
    <w:name w:val="Revision"/>
    <w:pPr>
      <w:widowControl/>
      <w:textAlignment w:val="auto"/>
    </w:pPr>
  </w:style>
  <w:style w:type="paragraph" w:customStyle="1" w:styleId="TableHeading">
    <w:name w:val="Table Heading"/>
    <w:basedOn w:val="TableContents"/>
    <w:pPr>
      <w:jc w:val="center"/>
    </w:pPr>
    <w:rPr>
      <w:b/>
      <w:bCs/>
    </w:rPr>
  </w:style>
  <w:style w:type="character" w:customStyle="1" w:styleId="af">
    <w:name w:val="頁首 字元"/>
    <w:rPr>
      <w:sz w:val="20"/>
      <w:szCs w:val="20"/>
    </w:rPr>
  </w:style>
  <w:style w:type="character" w:customStyle="1" w:styleId="af0">
    <w:name w:val="頁尾 字元"/>
    <w:rPr>
      <w:sz w:val="20"/>
      <w:szCs w:val="20"/>
    </w:rPr>
  </w:style>
  <w:style w:type="character" w:customStyle="1" w:styleId="af1">
    <w:name w:val="註解方塊文字 字元"/>
    <w:rPr>
      <w:rFonts w:ascii="Calibri Light" w:eastAsia="新細明體" w:hAnsi="Calibri Light" w:cs="Times New Roman"/>
      <w:sz w:val="18"/>
      <w:szCs w:val="18"/>
    </w:rPr>
  </w:style>
  <w:style w:type="character" w:styleId="af2">
    <w:name w:val="annotation reference"/>
    <w:basedOn w:val="a0"/>
    <w:rPr>
      <w:sz w:val="18"/>
      <w:szCs w:val="18"/>
    </w:rPr>
  </w:style>
  <w:style w:type="character" w:customStyle="1" w:styleId="af3">
    <w:name w:val="註解文字 字元"/>
    <w:basedOn w:val="a0"/>
    <w:rPr>
      <w:kern w:val="3"/>
      <w:sz w:val="24"/>
      <w:szCs w:val="22"/>
    </w:rPr>
  </w:style>
  <w:style w:type="character" w:customStyle="1" w:styleId="af4">
    <w:name w:val="註解主旨 字元"/>
    <w:basedOn w:val="af3"/>
    <w:rPr>
      <w:b/>
      <w:bCs/>
      <w:kern w:val="3"/>
      <w:sz w:val="24"/>
      <w:szCs w:val="22"/>
    </w:rPr>
  </w:style>
  <w:style w:type="character" w:customStyle="1" w:styleId="af5">
    <w:name w:val="本文縮排 字元"/>
    <w:basedOn w:val="a0"/>
    <w:rPr>
      <w:rFonts w:ascii="標楷體" w:eastAsia="標楷體" w:hAnsi="標楷體" w:cs="標楷體"/>
      <w:color w:val="000000"/>
      <w:kern w:val="3"/>
      <w:sz w:val="28"/>
    </w:rPr>
  </w:style>
  <w:style w:type="character" w:customStyle="1" w:styleId="30">
    <w:name w:val="本文縮排 3 字元"/>
    <w:basedOn w:val="a0"/>
    <w:rPr>
      <w:rFonts w:ascii="標楷體" w:eastAsia="標楷體" w:hAnsi="標楷體" w:cs="標楷體"/>
      <w:kern w:val="3"/>
      <w:sz w:val="24"/>
    </w:rPr>
  </w:style>
  <w:style w:type="character" w:customStyle="1" w:styleId="Internetlink">
    <w:name w:val="Internet link"/>
    <w:basedOn w:val="a0"/>
    <w:rPr>
      <w:color w:val="0000FF"/>
      <w:u w:val="single"/>
    </w:rPr>
  </w:style>
  <w:style w:type="character" w:customStyle="1" w:styleId="af6">
    <w:name w:val="日期 字元"/>
    <w:basedOn w:val="a0"/>
    <w:rPr>
      <w:kern w:val="3"/>
      <w:sz w:val="24"/>
      <w:szCs w:val="22"/>
    </w:rPr>
  </w:style>
  <w:style w:type="character" w:customStyle="1" w:styleId="af7">
    <w:name w:val="章節附註文字 字元"/>
    <w:basedOn w:val="a0"/>
    <w:rPr>
      <w:rFonts w:ascii="細明體" w:eastAsia="細明體" w:hAnsi="細明體" w:cs="細明體"/>
      <w:sz w:val="24"/>
    </w:rPr>
  </w:style>
  <w:style w:type="character" w:customStyle="1" w:styleId="10">
    <w:name w:val="標題 1 字元"/>
    <w:basedOn w:val="a0"/>
    <w:rPr>
      <w:rFonts w:ascii="標楷體" w:eastAsia="標楷體" w:hAnsi="標楷體" w:cs="標楷體"/>
      <w:color w:val="000000"/>
      <w:kern w:val="3"/>
      <w:sz w:val="36"/>
      <w:szCs w:val="22"/>
    </w:rPr>
  </w:style>
  <w:style w:type="character" w:customStyle="1" w:styleId="pg-3ff2">
    <w:name w:val="pg-3ff2"/>
    <w:basedOn w:val="a0"/>
  </w:style>
  <w:style w:type="character" w:customStyle="1" w:styleId="ListLabel1">
    <w:name w:val="ListLabel 1"/>
    <w:rPr>
      <w:strike w:val="0"/>
      <w:dstrike w:val="0"/>
      <w:color w:val="00000A"/>
      <w:lang w:val="en-US"/>
    </w:rPr>
  </w:style>
  <w:style w:type="character" w:customStyle="1" w:styleId="ListLabel2">
    <w:name w:val="ListLabel 2"/>
    <w:rPr>
      <w:rFonts w:ascii="標楷體" w:eastAsia="標楷體" w:hAnsi="標楷體" w:cs="標楷體"/>
      <w:strike w:val="0"/>
      <w:dstrike w:val="0"/>
      <w:color w:val="00000A"/>
    </w:rPr>
  </w:style>
  <w:style w:type="character" w:customStyle="1" w:styleId="ListLabel3">
    <w:name w:val="ListLabel 3"/>
    <w:rPr>
      <w:rFonts w:ascii="標楷體" w:eastAsia="標楷體" w:hAnsi="標楷體" w:cs="標楷體"/>
      <w:strike w:val="0"/>
      <w:dstrike w:val="0"/>
      <w:color w:val="00000A"/>
      <w:lang w:val="en-US"/>
    </w:rPr>
  </w:style>
  <w:style w:type="character" w:customStyle="1" w:styleId="ListLabel4">
    <w:name w:val="ListLabel 4"/>
    <w:rPr>
      <w:color w:val="FF0000"/>
    </w:rPr>
  </w:style>
  <w:style w:type="character" w:customStyle="1" w:styleId="ListLabel5">
    <w:name w:val="ListLabel 5"/>
    <w:rPr>
      <w:rFonts w:ascii="標楷體" w:eastAsia="標楷體" w:hAnsi="標楷體" w:cs="標楷體"/>
      <w:lang w:val="en-US"/>
    </w:rPr>
  </w:style>
  <w:style w:type="character" w:customStyle="1" w:styleId="ListLabel6">
    <w:name w:val="ListLabel 6"/>
    <w:rPr>
      <w:rFonts w:ascii="標楷體" w:eastAsia="標楷體" w:hAnsi="標楷體" w:cs="標楷體"/>
      <w:color w:val="00000A"/>
    </w:rPr>
  </w:style>
  <w:style w:type="character" w:customStyle="1" w:styleId="ListLabel7">
    <w:name w:val="ListLabel 7"/>
    <w:rPr>
      <w:rFonts w:cs="Times New Roman"/>
    </w:rPr>
  </w:style>
  <w:style w:type="character" w:customStyle="1" w:styleId="ListLabel8">
    <w:name w:val="ListLabel 8"/>
    <w:rPr>
      <w:rFonts w:ascii="標楷體" w:eastAsia="標楷體" w:hAnsi="標楷體" w:cs="標楷體"/>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pPr>
      <w:keepNext/>
      <w:keepLines/>
      <w:widowControl/>
      <w:spacing w:after="1"/>
      <w:ind w:left="2603" w:hanging="2536"/>
      <w:outlineLvl w:val="0"/>
    </w:pPr>
    <w:rPr>
      <w:rFonts w:ascii="標楷體" w:eastAsia="標楷體" w:hAnsi="標楷體" w:cs="標楷體"/>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eastAsia="Calibri Light" w:hAnsi="Calibri Light" w:cs="Calibri Light"/>
      <w:sz w:val="18"/>
      <w:szCs w:val="18"/>
    </w:rPr>
  </w:style>
  <w:style w:type="paragraph" w:styleId="a9">
    <w:name w:val="annotation text"/>
    <w:basedOn w:val="Standard"/>
  </w:style>
  <w:style w:type="paragraph" w:styleId="aa">
    <w:name w:val="annotation subject"/>
    <w:basedOn w:val="a9"/>
    <w:rPr>
      <w:b/>
      <w:bCs/>
    </w:rPr>
  </w:style>
  <w:style w:type="paragraph" w:customStyle="1" w:styleId="Textbodyindent">
    <w:name w:val="Text body indent"/>
    <w:basedOn w:val="Standard"/>
    <w:pPr>
      <w:snapToGrid w:val="0"/>
      <w:spacing w:line="700" w:lineRule="exact"/>
      <w:ind w:left="600" w:hanging="600"/>
    </w:pPr>
    <w:rPr>
      <w:rFonts w:ascii="標楷體" w:eastAsia="標楷體" w:hAnsi="標楷體" w:cs="標楷體"/>
      <w:color w:val="000000"/>
      <w:sz w:val="28"/>
      <w:szCs w:val="20"/>
    </w:rPr>
  </w:style>
  <w:style w:type="paragraph" w:styleId="3">
    <w:name w:val="Body Text Indent 3"/>
    <w:basedOn w:val="Standard"/>
    <w:pPr>
      <w:spacing w:before="280" w:after="280" w:line="280" w:lineRule="exact"/>
      <w:ind w:left="480" w:hanging="480"/>
    </w:pPr>
    <w:rPr>
      <w:rFonts w:ascii="標楷體" w:eastAsia="標楷體" w:hAnsi="標楷體" w:cs="標楷體"/>
      <w:szCs w:val="20"/>
    </w:rPr>
  </w:style>
  <w:style w:type="paragraph" w:customStyle="1" w:styleId="0221">
    <w:name w:val="0221"/>
    <w:basedOn w:val="Standard"/>
    <w:pPr>
      <w:widowControl/>
      <w:spacing w:before="280" w:after="280"/>
    </w:pPr>
    <w:rPr>
      <w:rFonts w:ascii="新細明體" w:hAnsi="新細明體" w:cs="新細明體"/>
      <w:kern w:val="0"/>
      <w:szCs w:val="24"/>
    </w:rPr>
  </w:style>
  <w:style w:type="paragraph" w:styleId="ab">
    <w:name w:val="Date"/>
    <w:basedOn w:val="Standard"/>
    <w:pPr>
      <w:jc w:val="right"/>
    </w:pPr>
  </w:style>
  <w:style w:type="paragraph" w:customStyle="1" w:styleId="Standarduser">
    <w:name w:val="Standard (user)"/>
    <w:pPr>
      <w:suppressAutoHyphens/>
    </w:pPr>
    <w:rPr>
      <w:rFonts w:ascii="標楷體" w:eastAsia="標楷體" w:hAnsi="標楷體" w:cs="標楷體"/>
    </w:rPr>
  </w:style>
  <w:style w:type="paragraph" w:customStyle="1" w:styleId="021">
    <w:name w:val="021"/>
    <w:basedOn w:val="Standard"/>
    <w:pPr>
      <w:widowControl/>
      <w:spacing w:before="280" w:after="280"/>
    </w:pPr>
    <w:rPr>
      <w:rFonts w:ascii="新細明體" w:hAnsi="新細明體" w:cs="新細明體"/>
      <w:kern w:val="0"/>
      <w:szCs w:val="24"/>
    </w:rPr>
  </w:style>
  <w:style w:type="paragraph" w:styleId="ac">
    <w:name w:val="endnote text"/>
    <w:basedOn w:val="Standard"/>
    <w:rPr>
      <w:rFonts w:ascii="細明體" w:eastAsia="細明體" w:hAnsi="細明體" w:cs="細明體"/>
      <w:kern w:val="0"/>
      <w:szCs w:val="20"/>
    </w:rPr>
  </w:style>
  <w:style w:type="paragraph" w:styleId="ad">
    <w:name w:val="No Spacing"/>
    <w:pPr>
      <w:suppressAutoHyphens/>
    </w:pPr>
    <w:rPr>
      <w:rFonts w:ascii="Times New Roman" w:eastAsia="Times New Roman" w:hAnsi="Times New Roman"/>
      <w:szCs w:val="24"/>
    </w:rPr>
  </w:style>
  <w:style w:type="paragraph" w:styleId="Web">
    <w:name w:val="Normal (Web)"/>
    <w:basedOn w:val="Standard"/>
    <w:rPr>
      <w:rFonts w:ascii="Times New Roman" w:eastAsia="Times New Roman" w:hAnsi="Times New Roman"/>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styleId="ae">
    <w:name w:val="Revision"/>
    <w:pPr>
      <w:widowControl/>
      <w:textAlignment w:val="auto"/>
    </w:pPr>
  </w:style>
  <w:style w:type="paragraph" w:customStyle="1" w:styleId="TableHeading">
    <w:name w:val="Table Heading"/>
    <w:basedOn w:val="TableContents"/>
    <w:pPr>
      <w:jc w:val="center"/>
    </w:pPr>
    <w:rPr>
      <w:b/>
      <w:bCs/>
    </w:rPr>
  </w:style>
  <w:style w:type="character" w:customStyle="1" w:styleId="af">
    <w:name w:val="頁首 字元"/>
    <w:rPr>
      <w:sz w:val="20"/>
      <w:szCs w:val="20"/>
    </w:rPr>
  </w:style>
  <w:style w:type="character" w:customStyle="1" w:styleId="af0">
    <w:name w:val="頁尾 字元"/>
    <w:rPr>
      <w:sz w:val="20"/>
      <w:szCs w:val="20"/>
    </w:rPr>
  </w:style>
  <w:style w:type="character" w:customStyle="1" w:styleId="af1">
    <w:name w:val="註解方塊文字 字元"/>
    <w:rPr>
      <w:rFonts w:ascii="Calibri Light" w:eastAsia="新細明體" w:hAnsi="Calibri Light" w:cs="Times New Roman"/>
      <w:sz w:val="18"/>
      <w:szCs w:val="18"/>
    </w:rPr>
  </w:style>
  <w:style w:type="character" w:styleId="af2">
    <w:name w:val="annotation reference"/>
    <w:basedOn w:val="a0"/>
    <w:rPr>
      <w:sz w:val="18"/>
      <w:szCs w:val="18"/>
    </w:rPr>
  </w:style>
  <w:style w:type="character" w:customStyle="1" w:styleId="af3">
    <w:name w:val="註解文字 字元"/>
    <w:basedOn w:val="a0"/>
    <w:rPr>
      <w:kern w:val="3"/>
      <w:sz w:val="24"/>
      <w:szCs w:val="22"/>
    </w:rPr>
  </w:style>
  <w:style w:type="character" w:customStyle="1" w:styleId="af4">
    <w:name w:val="註解主旨 字元"/>
    <w:basedOn w:val="af3"/>
    <w:rPr>
      <w:b/>
      <w:bCs/>
      <w:kern w:val="3"/>
      <w:sz w:val="24"/>
      <w:szCs w:val="22"/>
    </w:rPr>
  </w:style>
  <w:style w:type="character" w:customStyle="1" w:styleId="af5">
    <w:name w:val="本文縮排 字元"/>
    <w:basedOn w:val="a0"/>
    <w:rPr>
      <w:rFonts w:ascii="標楷體" w:eastAsia="標楷體" w:hAnsi="標楷體" w:cs="標楷體"/>
      <w:color w:val="000000"/>
      <w:kern w:val="3"/>
      <w:sz w:val="28"/>
    </w:rPr>
  </w:style>
  <w:style w:type="character" w:customStyle="1" w:styleId="30">
    <w:name w:val="本文縮排 3 字元"/>
    <w:basedOn w:val="a0"/>
    <w:rPr>
      <w:rFonts w:ascii="標楷體" w:eastAsia="標楷體" w:hAnsi="標楷體" w:cs="標楷體"/>
      <w:kern w:val="3"/>
      <w:sz w:val="24"/>
    </w:rPr>
  </w:style>
  <w:style w:type="character" w:customStyle="1" w:styleId="Internetlink">
    <w:name w:val="Internet link"/>
    <w:basedOn w:val="a0"/>
    <w:rPr>
      <w:color w:val="0000FF"/>
      <w:u w:val="single"/>
    </w:rPr>
  </w:style>
  <w:style w:type="character" w:customStyle="1" w:styleId="af6">
    <w:name w:val="日期 字元"/>
    <w:basedOn w:val="a0"/>
    <w:rPr>
      <w:kern w:val="3"/>
      <w:sz w:val="24"/>
      <w:szCs w:val="22"/>
    </w:rPr>
  </w:style>
  <w:style w:type="character" w:customStyle="1" w:styleId="af7">
    <w:name w:val="章節附註文字 字元"/>
    <w:basedOn w:val="a0"/>
    <w:rPr>
      <w:rFonts w:ascii="細明體" w:eastAsia="細明體" w:hAnsi="細明體" w:cs="細明體"/>
      <w:sz w:val="24"/>
    </w:rPr>
  </w:style>
  <w:style w:type="character" w:customStyle="1" w:styleId="10">
    <w:name w:val="標題 1 字元"/>
    <w:basedOn w:val="a0"/>
    <w:rPr>
      <w:rFonts w:ascii="標楷體" w:eastAsia="標楷體" w:hAnsi="標楷體" w:cs="標楷體"/>
      <w:color w:val="000000"/>
      <w:kern w:val="3"/>
      <w:sz w:val="36"/>
      <w:szCs w:val="22"/>
    </w:rPr>
  </w:style>
  <w:style w:type="character" w:customStyle="1" w:styleId="pg-3ff2">
    <w:name w:val="pg-3ff2"/>
    <w:basedOn w:val="a0"/>
  </w:style>
  <w:style w:type="character" w:customStyle="1" w:styleId="ListLabel1">
    <w:name w:val="ListLabel 1"/>
    <w:rPr>
      <w:strike w:val="0"/>
      <w:dstrike w:val="0"/>
      <w:color w:val="00000A"/>
      <w:lang w:val="en-US"/>
    </w:rPr>
  </w:style>
  <w:style w:type="character" w:customStyle="1" w:styleId="ListLabel2">
    <w:name w:val="ListLabel 2"/>
    <w:rPr>
      <w:rFonts w:ascii="標楷體" w:eastAsia="標楷體" w:hAnsi="標楷體" w:cs="標楷體"/>
      <w:strike w:val="0"/>
      <w:dstrike w:val="0"/>
      <w:color w:val="00000A"/>
    </w:rPr>
  </w:style>
  <w:style w:type="character" w:customStyle="1" w:styleId="ListLabel3">
    <w:name w:val="ListLabel 3"/>
    <w:rPr>
      <w:rFonts w:ascii="標楷體" w:eastAsia="標楷體" w:hAnsi="標楷體" w:cs="標楷體"/>
      <w:strike w:val="0"/>
      <w:dstrike w:val="0"/>
      <w:color w:val="00000A"/>
      <w:lang w:val="en-US"/>
    </w:rPr>
  </w:style>
  <w:style w:type="character" w:customStyle="1" w:styleId="ListLabel4">
    <w:name w:val="ListLabel 4"/>
    <w:rPr>
      <w:color w:val="FF0000"/>
    </w:rPr>
  </w:style>
  <w:style w:type="character" w:customStyle="1" w:styleId="ListLabel5">
    <w:name w:val="ListLabel 5"/>
    <w:rPr>
      <w:rFonts w:ascii="標楷體" w:eastAsia="標楷體" w:hAnsi="標楷體" w:cs="標楷體"/>
      <w:lang w:val="en-US"/>
    </w:rPr>
  </w:style>
  <w:style w:type="character" w:customStyle="1" w:styleId="ListLabel6">
    <w:name w:val="ListLabel 6"/>
    <w:rPr>
      <w:rFonts w:ascii="標楷體" w:eastAsia="標楷體" w:hAnsi="標楷體" w:cs="標楷體"/>
      <w:color w:val="00000A"/>
    </w:rPr>
  </w:style>
  <w:style w:type="character" w:customStyle="1" w:styleId="ListLabel7">
    <w:name w:val="ListLabel 7"/>
    <w:rPr>
      <w:rFonts w:cs="Times New Roman"/>
    </w:rPr>
  </w:style>
  <w:style w:type="character" w:customStyle="1" w:styleId="ListLabel8">
    <w:name w:val="ListLabel 8"/>
    <w:rPr>
      <w:rFonts w:ascii="標楷體" w:eastAsia="標楷體" w:hAnsi="標楷體" w:cs="標楷體"/>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a033</cp:lastModifiedBy>
  <cp:revision>1</cp:revision>
  <cp:lastPrinted>2019-08-19T09:51:00Z</cp:lastPrinted>
  <dcterms:created xsi:type="dcterms:W3CDTF">2019-09-18T07:50:00Z</dcterms:created>
  <dcterms:modified xsi:type="dcterms:W3CDTF">2019-09-18T07:50:00Z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